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329DB" w14:textId="545348CE" w:rsidR="00B3628D" w:rsidRDefault="00E56664">
      <w:pPr>
        <w:spacing w:line="360" w:lineRule="auto"/>
        <w:jc w:val="center"/>
      </w:pPr>
      <w:r>
        <w:rPr>
          <w:rFonts w:ascii="Times New Roman" w:hAnsi="Times New Roman" w:cs="Times New Roman"/>
          <w:b/>
          <w:sz w:val="24"/>
          <w:szCs w:val="24"/>
        </w:rPr>
        <w:t>EL AUMENTO DE LA SEGURIDAD FRONTERI</w:t>
      </w:r>
      <w:r w:rsidR="009D7519">
        <w:rPr>
          <w:rFonts w:ascii="Times New Roman" w:hAnsi="Times New Roman" w:cs="Times New Roman"/>
          <w:b/>
          <w:sz w:val="24"/>
          <w:szCs w:val="24"/>
        </w:rPr>
        <w:t xml:space="preserve">ZA ANTE LA CRISIS MIGRATORIA - </w:t>
      </w:r>
      <w:r>
        <w:rPr>
          <w:rFonts w:ascii="Times New Roman" w:hAnsi="Times New Roman" w:cs="Times New Roman"/>
          <w:b/>
          <w:sz w:val="24"/>
          <w:szCs w:val="24"/>
        </w:rPr>
        <w:t>AMENAZA AL ESPACIO SCHENGEN.</w:t>
      </w:r>
    </w:p>
    <w:p w14:paraId="1CC9AA07" w14:textId="77777777" w:rsidR="00B3628D" w:rsidRDefault="00E56664">
      <w:pPr>
        <w:tabs>
          <w:tab w:val="left" w:pos="2855"/>
        </w:tabs>
        <w:spacing w:line="360" w:lineRule="auto"/>
        <w:jc w:val="both"/>
      </w:pPr>
      <w:r>
        <w:rPr>
          <w:rFonts w:ascii="Times New Roman" w:hAnsi="Times New Roman" w:cs="Times New Roman"/>
          <w:i/>
        </w:rPr>
        <w:t xml:space="preserve"> María Laura Casares</w:t>
      </w:r>
    </w:p>
    <w:p w14:paraId="7F8C7E7E" w14:textId="03399EC5" w:rsidR="00B3628D" w:rsidRPr="00497407" w:rsidRDefault="00E56664">
      <w:pPr>
        <w:spacing w:line="360" w:lineRule="auto"/>
        <w:jc w:val="both"/>
      </w:pPr>
      <w:r w:rsidRPr="00497407">
        <w:rPr>
          <w:rFonts w:ascii="Times New Roman" w:hAnsi="Times New Roman" w:cs="Times New Roman"/>
        </w:rPr>
        <w:t xml:space="preserve">En 1985, cinco Estados de la Unión Europea (UE), Alemania, Bélgica, Francia, Luxemburgo y Países Bajos, firmaron el Acuerdo de Schengen, mediante el cual decidieron suprimir los controles de sus fronteras exteriores, dando el </w:t>
      </w:r>
      <w:r w:rsidR="00E33623" w:rsidRPr="00497407">
        <w:rPr>
          <w:rFonts w:ascii="Times New Roman" w:hAnsi="Times New Roman" w:cs="Times New Roman"/>
        </w:rPr>
        <w:t>puntapié</w:t>
      </w:r>
      <w:r w:rsidRPr="00497407">
        <w:rPr>
          <w:rFonts w:ascii="Times New Roman" w:hAnsi="Times New Roman" w:cs="Times New Roman"/>
        </w:rPr>
        <w:t xml:space="preserve"> inicial para el desarrollo del denominado espacio Schengen. El Acuerdo fue completado con el Convenio de Schengen mediante el cual se definieron las condiciones y garantías para establecer un espacio sin controles en las fronteras interiores. El Convenio se firmó en 1990 y entró en vigor en 1995. Tanto el Acuerdo como el Convenio fueron integrados a la legislación de la UE.</w:t>
      </w:r>
    </w:p>
    <w:p w14:paraId="4BDDB191"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En la actualidad veintiséis países forman parte del espacio Schengen: veintidós son Estados miembros de UE -a excepción de Bulgaria, Croacia, Chipre, Rumania, Irlanda y Reino Unido- y cuatro son extracomunitarios, específicamente Islandia, Liechtenstein, Noruega y Suiza.</w:t>
      </w:r>
    </w:p>
    <w:p w14:paraId="12F1E304"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El Acuerdo dio lugar a una zona libre de controles fronterizos internos entre los países Schengen, manteniéndose los controles en fronteras exteriores entre un miembro del espacio Schengen y otro Estado no perteneciente. Las principales medidas que se pueden incluir dentro del Acuerdo son:</w:t>
      </w:r>
    </w:p>
    <w:p w14:paraId="649ED409" w14:textId="77777777" w:rsidR="00B3628D" w:rsidRPr="00497407" w:rsidRDefault="00E56664">
      <w:pPr>
        <w:numPr>
          <w:ilvl w:val="0"/>
          <w:numId w:val="2"/>
        </w:numPr>
        <w:spacing w:line="360" w:lineRule="auto"/>
        <w:contextualSpacing/>
        <w:jc w:val="both"/>
        <w:rPr>
          <w:rFonts w:ascii="Times New Roman" w:hAnsi="Times New Roman" w:cs="Times New Roman"/>
        </w:rPr>
      </w:pPr>
      <w:r w:rsidRPr="00497407">
        <w:rPr>
          <w:rFonts w:ascii="Times New Roman" w:hAnsi="Times New Roman" w:cs="Times New Roman"/>
        </w:rPr>
        <w:t>Supresión de controles de personas en fronteras interiores, supresión de obstáculos y restricciones a la circulación en pasos fronterizos.</w:t>
      </w:r>
    </w:p>
    <w:p w14:paraId="3C395754" w14:textId="77777777" w:rsidR="00B3628D" w:rsidRPr="00497407" w:rsidRDefault="00E56664">
      <w:pPr>
        <w:numPr>
          <w:ilvl w:val="0"/>
          <w:numId w:val="2"/>
        </w:numPr>
        <w:spacing w:line="360" w:lineRule="auto"/>
        <w:contextualSpacing/>
        <w:jc w:val="both"/>
        <w:rPr>
          <w:rFonts w:ascii="Times New Roman" w:hAnsi="Times New Roman" w:cs="Times New Roman"/>
        </w:rPr>
      </w:pPr>
      <w:r w:rsidRPr="00497407">
        <w:rPr>
          <w:rFonts w:ascii="Times New Roman" w:hAnsi="Times New Roman" w:cs="Times New Roman"/>
        </w:rPr>
        <w:t>Aplicación de normas Schengen en aeropuertos.</w:t>
      </w:r>
    </w:p>
    <w:p w14:paraId="7ED8073B" w14:textId="77777777" w:rsidR="00B3628D" w:rsidRPr="00497407" w:rsidRDefault="00E56664">
      <w:pPr>
        <w:numPr>
          <w:ilvl w:val="0"/>
          <w:numId w:val="2"/>
        </w:numPr>
        <w:spacing w:line="360" w:lineRule="auto"/>
        <w:contextualSpacing/>
        <w:jc w:val="both"/>
        <w:rPr>
          <w:rFonts w:ascii="Times New Roman" w:hAnsi="Times New Roman" w:cs="Times New Roman"/>
        </w:rPr>
      </w:pPr>
      <w:r w:rsidRPr="00497407">
        <w:rPr>
          <w:rFonts w:ascii="Times New Roman" w:hAnsi="Times New Roman" w:cs="Times New Roman"/>
        </w:rPr>
        <w:t>Política común de visado.</w:t>
      </w:r>
    </w:p>
    <w:p w14:paraId="409A5AD8" w14:textId="229BE9DE" w:rsidR="00B3628D" w:rsidRPr="00497407" w:rsidRDefault="0035029C">
      <w:pPr>
        <w:numPr>
          <w:ilvl w:val="0"/>
          <w:numId w:val="2"/>
        </w:numPr>
        <w:spacing w:line="360" w:lineRule="auto"/>
        <w:contextualSpacing/>
        <w:jc w:val="both"/>
        <w:rPr>
          <w:rFonts w:ascii="Times New Roman" w:hAnsi="Times New Roman" w:cs="Times New Roman"/>
        </w:rPr>
      </w:pPr>
      <w:r>
        <w:rPr>
          <w:rFonts w:ascii="Times New Roman" w:hAnsi="Times New Roman" w:cs="Times New Roman"/>
        </w:rPr>
        <w:t>Cooperación policial pasiva</w:t>
      </w:r>
      <w:r w:rsidR="00E56664" w:rsidRPr="00497407">
        <w:rPr>
          <w:rStyle w:val="Ancladenotaalpie"/>
          <w:rFonts w:ascii="Times New Roman" w:hAnsi="Times New Roman" w:cs="Times New Roman"/>
        </w:rPr>
        <w:footnoteReference w:id="1"/>
      </w:r>
      <w:r>
        <w:rPr>
          <w:rFonts w:ascii="Times New Roman" w:hAnsi="Times New Roman" w:cs="Times New Roman"/>
        </w:rPr>
        <w:t>.</w:t>
      </w:r>
    </w:p>
    <w:p w14:paraId="7C9BE668" w14:textId="77777777" w:rsidR="00B3628D" w:rsidRPr="00497407" w:rsidRDefault="00E56664">
      <w:pPr>
        <w:numPr>
          <w:ilvl w:val="0"/>
          <w:numId w:val="2"/>
        </w:numPr>
        <w:spacing w:line="360" w:lineRule="auto"/>
        <w:contextualSpacing/>
        <w:jc w:val="both"/>
        <w:rPr>
          <w:rFonts w:ascii="Times New Roman" w:hAnsi="Times New Roman" w:cs="Times New Roman"/>
        </w:rPr>
      </w:pPr>
      <w:r w:rsidRPr="00497407">
        <w:rPr>
          <w:rFonts w:ascii="Times New Roman" w:hAnsi="Times New Roman" w:cs="Times New Roman"/>
        </w:rPr>
        <w:t xml:space="preserve">Asistencia judicial </w:t>
      </w:r>
    </w:p>
    <w:p w14:paraId="03E3311A" w14:textId="77777777" w:rsidR="00B3628D" w:rsidRPr="00497407" w:rsidRDefault="00E56664">
      <w:pPr>
        <w:numPr>
          <w:ilvl w:val="0"/>
          <w:numId w:val="2"/>
        </w:numPr>
        <w:spacing w:line="360" w:lineRule="auto"/>
        <w:contextualSpacing/>
        <w:jc w:val="both"/>
        <w:rPr>
          <w:rFonts w:ascii="Times New Roman" w:hAnsi="Times New Roman" w:cs="Times New Roman"/>
        </w:rPr>
      </w:pPr>
      <w:r w:rsidRPr="00497407">
        <w:rPr>
          <w:rFonts w:ascii="Times New Roman" w:hAnsi="Times New Roman" w:cs="Times New Roman"/>
        </w:rPr>
        <w:t xml:space="preserve">Regulación del Sistema de Información Schengen </w:t>
      </w:r>
    </w:p>
    <w:p w14:paraId="30EB1EED" w14:textId="77777777" w:rsidR="00647FF0" w:rsidRDefault="00E56664">
      <w:pPr>
        <w:spacing w:line="360" w:lineRule="auto"/>
        <w:jc w:val="both"/>
        <w:rPr>
          <w:rFonts w:ascii="Times New Roman" w:hAnsi="Times New Roman" w:cs="Times New Roman"/>
        </w:rPr>
      </w:pPr>
      <w:r w:rsidRPr="00497407">
        <w:rPr>
          <w:rFonts w:ascii="Times New Roman" w:hAnsi="Times New Roman" w:cs="Times New Roman"/>
        </w:rPr>
        <w:t>Los Estados Schengen coordinan sus acciones en las fronteras externas comunes, con el fin de garantizar la seguridad dentro del espacio sin fronteras. Según datos de la Comisión Europea (CE) se crearon más de cincuenta centros de Cooperación bilateral o multilateral, así como equipos conjuntos. Esto permite un intercambio de información más rápido y eficiente frente a posibles amenazas.</w:t>
      </w:r>
    </w:p>
    <w:p w14:paraId="3BE8FC57" w14:textId="0FABFA93" w:rsidR="00B3628D" w:rsidRPr="00647FF0" w:rsidRDefault="00E56664">
      <w:pPr>
        <w:spacing w:line="360" w:lineRule="auto"/>
        <w:jc w:val="both"/>
        <w:rPr>
          <w:rFonts w:ascii="Times New Roman" w:hAnsi="Times New Roman" w:cs="Times New Roman"/>
        </w:rPr>
      </w:pPr>
      <w:r w:rsidRPr="00497407">
        <w:rPr>
          <w:rFonts w:ascii="Times New Roman" w:hAnsi="Times New Roman" w:cs="Times New Roman"/>
        </w:rPr>
        <w:lastRenderedPageBreak/>
        <w:t>A pesar de que no todos los Estados miembros de la UE formaron parte del Acuerdo de 1985, la UE lo ha considerado como uno de los mayores logros en el proceso de integración. Como mencionamos anteriormente, para 1999 el Acuerdo Schengen se integró en el marco institucional de la Unión Europea. De hecho, para el programa 2014-2020, la Unión Europea “dispone de un total de 2.760 millones EUR para mejorar la gestión y los controles de la frontera exterior, a fin de abordar mejor la migración irregular y agilizar la tramitación de las solicitudes de visados Schengen”. (Comisión Europea</w:t>
      </w:r>
      <w:r w:rsidR="00833104">
        <w:rPr>
          <w:rFonts w:ascii="Times New Roman" w:hAnsi="Times New Roman" w:cs="Times New Roman"/>
        </w:rPr>
        <w:t xml:space="preserve"> </w:t>
      </w:r>
      <w:bookmarkStart w:id="0" w:name="_GoBack"/>
      <w:bookmarkEnd w:id="0"/>
      <w:r w:rsidRPr="00497407">
        <w:rPr>
          <w:rFonts w:ascii="Times New Roman" w:hAnsi="Times New Roman" w:cs="Times New Roman"/>
        </w:rPr>
        <w:t>[CE], 2015, p.6). Además, la UE aporta 1000 millones EUR para lograr una mayor eficiencia tanto en la cooperación policial como en el intercambio de información.</w:t>
      </w:r>
    </w:p>
    <w:p w14:paraId="742576C9" w14:textId="77777777" w:rsidR="00B3628D" w:rsidRPr="00497407" w:rsidRDefault="00E56664">
      <w:pPr>
        <w:spacing w:line="360" w:lineRule="auto"/>
        <w:jc w:val="both"/>
      </w:pPr>
      <w:r w:rsidRPr="00497407">
        <w:rPr>
          <w:rFonts w:ascii="Times New Roman" w:hAnsi="Times New Roman" w:cs="Times New Roman"/>
        </w:rPr>
        <w:t>Con el devenir de la crisis migratoria y los ataques terroristas que se han vivido en los últimos años en territorio europeo, algunos Estados Schengen miembros de la UE optaron por el establecimiento de políticas que afectan directamente la libre circulación, más específicamente, la reintroducción de los controles fronterizos intra-Schengen. Esto nos lleva a preguntar si estamos viendo el comienzo de un proceso de desintegración del espacio Schengen y si la UE ha fracasado en la gestión de políticas frente a la crisis migratoria.</w:t>
      </w:r>
    </w:p>
    <w:p w14:paraId="5C4AED69" w14:textId="5B4BED33" w:rsidR="005B2502" w:rsidRPr="00497407" w:rsidRDefault="00E56664">
      <w:pPr>
        <w:spacing w:line="360" w:lineRule="auto"/>
        <w:jc w:val="both"/>
        <w:rPr>
          <w:rFonts w:ascii="Times New Roman" w:hAnsi="Times New Roman" w:cs="Times New Roman"/>
        </w:rPr>
      </w:pPr>
      <w:r w:rsidRPr="00497407">
        <w:rPr>
          <w:rFonts w:ascii="Times New Roman" w:hAnsi="Times New Roman" w:cs="Times New Roman"/>
        </w:rPr>
        <w:t xml:space="preserve">Si bien los Estados comenzaron a incorporar controles fronterizos a partir del 2015/2016, se puede hacer mención de un antecedente. En 2011, </w:t>
      </w:r>
      <w:r w:rsidR="008270C4" w:rsidRPr="00497407">
        <w:rPr>
          <w:rFonts w:ascii="Times New Roman" w:hAnsi="Times New Roman" w:cs="Times New Roman"/>
        </w:rPr>
        <w:t xml:space="preserve">con el inicio de la denominada Primavera </w:t>
      </w:r>
      <w:r w:rsidR="008C5E4E" w:rsidRPr="00497407">
        <w:rPr>
          <w:rFonts w:ascii="Times New Roman" w:hAnsi="Times New Roman" w:cs="Times New Roman"/>
        </w:rPr>
        <w:t>Árabe</w:t>
      </w:r>
      <w:r w:rsidR="000B11F8">
        <w:rPr>
          <w:rStyle w:val="Refdenotaalpie"/>
          <w:rFonts w:ascii="Times New Roman" w:hAnsi="Times New Roman" w:cs="Times New Roman"/>
        </w:rPr>
        <w:footnoteReference w:id="2"/>
      </w:r>
      <w:r w:rsidR="008C5E4E" w:rsidRPr="00497407">
        <w:rPr>
          <w:rFonts w:ascii="Times New Roman" w:hAnsi="Times New Roman" w:cs="Times New Roman"/>
        </w:rPr>
        <w:t xml:space="preserve"> se dio un importante flujo migratorio hacia Europa</w:t>
      </w:r>
      <w:r w:rsidR="005B2502" w:rsidRPr="00497407">
        <w:rPr>
          <w:rFonts w:ascii="Times New Roman" w:hAnsi="Times New Roman" w:cs="Times New Roman"/>
        </w:rPr>
        <w:t xml:space="preserve">. El mayor flujo de migrantes irregulares </w:t>
      </w:r>
      <w:r w:rsidR="00E9658F" w:rsidRPr="00497407">
        <w:rPr>
          <w:rFonts w:ascii="Times New Roman" w:hAnsi="Times New Roman" w:cs="Times New Roman"/>
        </w:rPr>
        <w:t>se dirigió</w:t>
      </w:r>
      <w:r w:rsidR="005B2502" w:rsidRPr="00497407">
        <w:rPr>
          <w:rFonts w:ascii="Times New Roman" w:hAnsi="Times New Roman" w:cs="Times New Roman"/>
        </w:rPr>
        <w:t xml:space="preserve"> a Malta o al sur de Italia</w:t>
      </w:r>
      <w:r w:rsidR="004A486F" w:rsidRPr="00497407">
        <w:rPr>
          <w:rFonts w:ascii="Times New Roman" w:hAnsi="Times New Roman" w:cs="Times New Roman"/>
        </w:rPr>
        <w:t xml:space="preserve"> desde el norte de África</w:t>
      </w:r>
      <w:r w:rsidR="00404871">
        <w:rPr>
          <w:rFonts w:ascii="Times New Roman" w:hAnsi="Times New Roman" w:cs="Times New Roman"/>
        </w:rPr>
        <w:t>,</w:t>
      </w:r>
      <w:r w:rsidR="00E9658F" w:rsidRPr="00497407">
        <w:rPr>
          <w:rFonts w:ascii="Times New Roman" w:hAnsi="Times New Roman" w:cs="Times New Roman"/>
        </w:rPr>
        <w:t xml:space="preserve"> por vía marítima. </w:t>
      </w:r>
      <w:r w:rsidR="006947B3" w:rsidRPr="00497407">
        <w:rPr>
          <w:rFonts w:ascii="Times New Roman" w:hAnsi="Times New Roman" w:cs="Times New Roman"/>
        </w:rPr>
        <w:t xml:space="preserve">Muchos de los refugiados siguieron camino hacia </w:t>
      </w:r>
      <w:r w:rsidR="005B2502" w:rsidRPr="00497407">
        <w:rPr>
          <w:rFonts w:ascii="Times New Roman" w:hAnsi="Times New Roman" w:cs="Times New Roman"/>
        </w:rPr>
        <w:t>otros Estados europ</w:t>
      </w:r>
      <w:r w:rsidR="006947B3" w:rsidRPr="00497407">
        <w:rPr>
          <w:rFonts w:ascii="Times New Roman" w:hAnsi="Times New Roman" w:cs="Times New Roman"/>
        </w:rPr>
        <w:t>eos,</w:t>
      </w:r>
      <w:r w:rsidR="005B2502" w:rsidRPr="00497407">
        <w:rPr>
          <w:rFonts w:ascii="Times New Roman" w:hAnsi="Times New Roman" w:cs="Times New Roman"/>
        </w:rPr>
        <w:t xml:space="preserve"> particular</w:t>
      </w:r>
      <w:r w:rsidR="006947B3" w:rsidRPr="00497407">
        <w:rPr>
          <w:rFonts w:ascii="Times New Roman" w:hAnsi="Times New Roman" w:cs="Times New Roman"/>
        </w:rPr>
        <w:t xml:space="preserve">mente </w:t>
      </w:r>
      <w:r w:rsidR="005B2502" w:rsidRPr="00497407">
        <w:rPr>
          <w:rFonts w:ascii="Times New Roman" w:hAnsi="Times New Roman" w:cs="Times New Roman"/>
        </w:rPr>
        <w:t>hacia Francia. Ante la masividad</w:t>
      </w:r>
      <w:r w:rsidR="000E1124" w:rsidRPr="00497407">
        <w:rPr>
          <w:rFonts w:ascii="Times New Roman" w:hAnsi="Times New Roman" w:cs="Times New Roman"/>
        </w:rPr>
        <w:t xml:space="preserve"> de inmigrantes y </w:t>
      </w:r>
      <w:r w:rsidRPr="00497407">
        <w:rPr>
          <w:rFonts w:ascii="Times New Roman" w:hAnsi="Times New Roman" w:cs="Times New Roman"/>
        </w:rPr>
        <w:t>la inadecuada protección de las fro</w:t>
      </w:r>
      <w:r w:rsidR="00A02D92" w:rsidRPr="00497407">
        <w:rPr>
          <w:rFonts w:ascii="Times New Roman" w:hAnsi="Times New Roman" w:cs="Times New Roman"/>
        </w:rPr>
        <w:t>nteras externas comunes de los E</w:t>
      </w:r>
      <w:r w:rsidRPr="00497407">
        <w:rPr>
          <w:rFonts w:ascii="Times New Roman" w:hAnsi="Times New Roman" w:cs="Times New Roman"/>
        </w:rPr>
        <w:t xml:space="preserve">stados de la UE, </w:t>
      </w:r>
      <w:r w:rsidR="004A486F" w:rsidRPr="00497407">
        <w:rPr>
          <w:rFonts w:ascii="Times New Roman" w:hAnsi="Times New Roman" w:cs="Times New Roman"/>
        </w:rPr>
        <w:t>Francia decidió en abril de 2011</w:t>
      </w:r>
      <w:r w:rsidRPr="00497407">
        <w:rPr>
          <w:rFonts w:ascii="Times New Roman" w:hAnsi="Times New Roman" w:cs="Times New Roman"/>
        </w:rPr>
        <w:t xml:space="preserve"> </w:t>
      </w:r>
      <w:r w:rsidR="004A486F" w:rsidRPr="00497407">
        <w:rPr>
          <w:rFonts w:ascii="Times New Roman" w:hAnsi="Times New Roman" w:cs="Times New Roman"/>
        </w:rPr>
        <w:t xml:space="preserve">establecer </w:t>
      </w:r>
      <w:r w:rsidRPr="00497407">
        <w:rPr>
          <w:rFonts w:ascii="Times New Roman" w:hAnsi="Times New Roman" w:cs="Times New Roman"/>
        </w:rPr>
        <w:t>controles fronterizos</w:t>
      </w:r>
      <w:r w:rsidR="004A486F" w:rsidRPr="00497407">
        <w:rPr>
          <w:rFonts w:ascii="Times New Roman" w:hAnsi="Times New Roman" w:cs="Times New Roman"/>
        </w:rPr>
        <w:t xml:space="preserve"> en la frontera con Italia</w:t>
      </w:r>
      <w:r w:rsidR="000B11F8">
        <w:rPr>
          <w:rFonts w:ascii="Times New Roman" w:hAnsi="Times New Roman" w:cs="Times New Roman"/>
        </w:rPr>
        <w:t>.</w:t>
      </w:r>
    </w:p>
    <w:p w14:paraId="4182C0AB" w14:textId="43991DAD"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 xml:space="preserve">Ya para el 2014 se comienza a notar un flujo migratorio ascendente ante el recrudecimiento de los conflictos en diferentes países árabes. Para el 2015 casi 1 millón de ciudadanos pertenecientes a aquellas zonas de conflicto lograron alcanzar territorio europeo. Frente a esta crisis y ante la falta de acción política conjunta en Fronteras externas, algunos Estados decidieron reintroducir controles fronterizos. </w:t>
      </w:r>
    </w:p>
    <w:p w14:paraId="50262CB2" w14:textId="78F193BD" w:rsidR="00B3628D" w:rsidRPr="00497407" w:rsidRDefault="00E56664">
      <w:pPr>
        <w:spacing w:line="360" w:lineRule="auto"/>
        <w:jc w:val="both"/>
      </w:pPr>
      <w:r w:rsidRPr="00497407">
        <w:rPr>
          <w:rFonts w:ascii="Times New Roman" w:hAnsi="Times New Roman" w:cs="Times New Roman"/>
        </w:rPr>
        <w:t xml:space="preserve">Durante los primeros meses de 2015 la canciller alemana, Angela Merkel, anunció la decisión de dar acogida a todos los migrantes provenientes de zonas conflictivas de Medio Oriente. Sin embargo, la masiva llegada de inmigrantes en busca de asilo al territorio alemán llevó al </w:t>
      </w:r>
      <w:r w:rsidRPr="00497407">
        <w:rPr>
          <w:rFonts w:ascii="Times New Roman" w:hAnsi="Times New Roman" w:cs="Times New Roman"/>
        </w:rPr>
        <w:lastRenderedPageBreak/>
        <w:t xml:space="preserve">gobierno a levantar controles en sus fronteras internas. Así, a fines de 2015, Alemania fue el primer país en notificar su decisión de comenzar a llevar adelante controles fronterizos internos temporales. A ella le siguieron Austria, Dinamarca, Francia, Eslovenia, Malta y Suecia. </w:t>
      </w:r>
    </w:p>
    <w:p w14:paraId="638D9AEE"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Estas decisiones políticas se encuentran reguladas por el Código de Fronteras Schengen (Reglamento (CE) Nº 562/2006 del Parlamento Europeo y del Consejo de la Unión Europea). Según su Artículo 23 sobre el restablecimiento temporal de los controles en las fronteras interiores:</w:t>
      </w:r>
    </w:p>
    <w:p w14:paraId="4A7D7660"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“Si existe una amenaza grave para el orden público o la seguridad interior, todo Estado miembro podrá restablecer, con carácter excepcional y durante un período limitado no superior a 30 días o mientras se prevea que persiste la amenaza grave cuando su duración sobrepase el plazo de 30 días […] La amplitud y la duración del restablecimiento temporal de los controles en las fronteras interiores no excederá lo que sea estrictamente necesario para responder a la amenaza grave.”</w:t>
      </w:r>
    </w:p>
    <w:p w14:paraId="4A331984" w14:textId="4AC9ED8E"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 xml:space="preserve">En el caso </w:t>
      </w:r>
      <w:r w:rsidR="005467FA" w:rsidRPr="00497407">
        <w:rPr>
          <w:rFonts w:ascii="Times New Roman" w:hAnsi="Times New Roman" w:cs="Times New Roman"/>
        </w:rPr>
        <w:t>alemán, el gobierno notificó a la Comisión</w:t>
      </w:r>
      <w:r w:rsidRPr="00497407">
        <w:rPr>
          <w:rFonts w:ascii="Times New Roman" w:hAnsi="Times New Roman" w:cs="Times New Roman"/>
        </w:rPr>
        <w:t xml:space="preserve"> </w:t>
      </w:r>
      <w:r w:rsidR="005467FA" w:rsidRPr="00497407">
        <w:rPr>
          <w:rFonts w:ascii="Times New Roman" w:hAnsi="Times New Roman" w:cs="Times New Roman"/>
        </w:rPr>
        <w:t>Europea</w:t>
      </w:r>
      <w:r w:rsidRPr="00497407">
        <w:rPr>
          <w:rFonts w:ascii="Times New Roman" w:hAnsi="Times New Roman" w:cs="Times New Roman"/>
        </w:rPr>
        <w:t xml:space="preserve"> que frente a la llegada de una gran cantidad de refugiados se pondría en peligro la seguridad interior, y afectarían </w:t>
      </w:r>
      <w:r w:rsidR="00445C1B" w:rsidRPr="00497407">
        <w:rPr>
          <w:rFonts w:ascii="Times New Roman" w:hAnsi="Times New Roman" w:cs="Times New Roman"/>
        </w:rPr>
        <w:t xml:space="preserve">en gran medida al orden público. </w:t>
      </w:r>
      <w:r w:rsidRPr="00497407">
        <w:rPr>
          <w:rFonts w:ascii="Times New Roman" w:hAnsi="Times New Roman" w:cs="Times New Roman"/>
        </w:rPr>
        <w:t>Por su parte, Francia introdujo controles en la totalidad de sus fronteras con otros Estados miembros Schengen tras los ataques terroris</w:t>
      </w:r>
      <w:r w:rsidR="0035029C">
        <w:rPr>
          <w:rFonts w:ascii="Times New Roman" w:hAnsi="Times New Roman" w:cs="Times New Roman"/>
        </w:rPr>
        <w:t>tas del 13 de noviembre de 2015</w:t>
      </w:r>
      <w:r w:rsidR="00445C1B" w:rsidRPr="00497407">
        <w:rPr>
          <w:rStyle w:val="Refdenotaalpie"/>
          <w:rFonts w:ascii="Times New Roman" w:hAnsi="Times New Roman" w:cs="Times New Roman"/>
        </w:rPr>
        <w:footnoteReference w:id="3"/>
      </w:r>
      <w:r w:rsidR="0035029C">
        <w:rPr>
          <w:rFonts w:ascii="Times New Roman" w:hAnsi="Times New Roman" w:cs="Times New Roman"/>
        </w:rPr>
        <w:t>.</w:t>
      </w:r>
    </w:p>
    <w:p w14:paraId="2566B239"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A lo largo de 2016 y parte de 2017, Bruselas avaló la renovación de los controles fronterizos. Si bien el Código establece un máximo de seis meses para mantener controles fronterizos, estos pueden ser prorrogados hasta por un periodo de dos años.</w:t>
      </w:r>
    </w:p>
    <w:p w14:paraId="6FD0034E" w14:textId="74E2224F" w:rsidR="00B3628D" w:rsidRPr="00497407" w:rsidRDefault="00E56664">
      <w:pPr>
        <w:spacing w:line="360" w:lineRule="auto"/>
        <w:jc w:val="both"/>
      </w:pPr>
      <w:r w:rsidRPr="00497407">
        <w:rPr>
          <w:rFonts w:ascii="Times New Roman" w:hAnsi="Times New Roman" w:cs="Times New Roman"/>
        </w:rPr>
        <w:t>Por su parte, la UE ha incorporado controles sistemáticos en fronteras externas, así como ha llevado adelante la sustitución en 2016 de la Agencia Europea para la Gestión de la Cooperación Operativa en las Fronteras Exteriores por la Guardia Europea de Fronteras y Costas</w:t>
      </w:r>
      <w:r w:rsidRPr="00497407">
        <w:rPr>
          <w:rStyle w:val="Ancladenotaalpie"/>
          <w:rFonts w:ascii="Times New Roman" w:hAnsi="Times New Roman" w:cs="Times New Roman"/>
        </w:rPr>
        <w:footnoteReference w:id="4"/>
      </w:r>
      <w:r w:rsidRPr="00497407">
        <w:rPr>
          <w:rFonts w:ascii="Times New Roman" w:hAnsi="Times New Roman" w:cs="Times New Roman"/>
        </w:rPr>
        <w:t xml:space="preserve"> (Frontex). La nueva agencia ha recibido una ampliación importante de recursos -tanto presupuestario como de personal. En relación a las competencias, la Guardia Europea podrá operar directamente y por sí misma, diferencia fundamental con la antigua agencia. A su vez, la UE ha incrementado el uso de nuevas tecnologías y ha ampliado las operaciones de seguridad fronteriza.</w:t>
      </w:r>
    </w:p>
    <w:p w14:paraId="1A1BB5EF" w14:textId="224B2A63"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lastRenderedPageBreak/>
        <w:t>También en 2016 se implementó el denominado paquete de “fronteras inteligentes”. Lo que se busca con ese paquete es “modernizar la gestión de las fronteras mediante la automatización de los controles fronterizos y la mejora de la información de entrada y salida” (PE, 2016).</w:t>
      </w:r>
    </w:p>
    <w:p w14:paraId="341F4933" w14:textId="60B47F22" w:rsidR="00ED6DEA" w:rsidRPr="00497407" w:rsidRDefault="00E56664">
      <w:pPr>
        <w:spacing w:line="360" w:lineRule="auto"/>
        <w:jc w:val="both"/>
        <w:rPr>
          <w:rFonts w:ascii="Times New Roman" w:hAnsi="Times New Roman" w:cs="Times New Roman"/>
        </w:rPr>
      </w:pPr>
      <w:r w:rsidRPr="00497407">
        <w:rPr>
          <w:rFonts w:ascii="Times New Roman" w:hAnsi="Times New Roman" w:cs="Times New Roman"/>
        </w:rPr>
        <w:t>En junio de 2017, el Consejo acordó una orientación gen</w:t>
      </w:r>
      <w:r w:rsidR="00355525" w:rsidRPr="00497407">
        <w:rPr>
          <w:rFonts w:ascii="Times New Roman" w:hAnsi="Times New Roman" w:cs="Times New Roman"/>
        </w:rPr>
        <w:t xml:space="preserve">eral en relación al proyecto de Reglamento </w:t>
      </w:r>
      <w:r w:rsidRPr="00497407">
        <w:rPr>
          <w:rFonts w:ascii="Times New Roman" w:hAnsi="Times New Roman" w:cs="Times New Roman"/>
        </w:rPr>
        <w:t>de la Comisión Europea (CE)</w:t>
      </w:r>
      <w:r w:rsidR="00355525" w:rsidRPr="00497407">
        <w:rPr>
          <w:rFonts w:ascii="Times New Roman" w:hAnsi="Times New Roman" w:cs="Times New Roman"/>
        </w:rPr>
        <w:t xml:space="preserve"> para</w:t>
      </w:r>
      <w:r w:rsidRPr="00497407">
        <w:rPr>
          <w:rFonts w:ascii="Times New Roman" w:hAnsi="Times New Roman" w:cs="Times New Roman"/>
        </w:rPr>
        <w:t xml:space="preserve"> la Creación del Sistema Europeo de Información y Autorización de Viajes</w:t>
      </w:r>
      <w:r w:rsidR="00ED6DEA" w:rsidRPr="00497407">
        <w:rPr>
          <w:rFonts w:ascii="Times New Roman" w:hAnsi="Times New Roman" w:cs="Times New Roman"/>
        </w:rPr>
        <w:t xml:space="preserve"> (SEIAV)</w:t>
      </w:r>
      <w:r w:rsidRPr="00497407">
        <w:rPr>
          <w:rFonts w:ascii="Times New Roman" w:hAnsi="Times New Roman" w:cs="Times New Roman"/>
        </w:rPr>
        <w:t xml:space="preserve">. </w:t>
      </w:r>
      <w:r w:rsidR="00ED6DEA" w:rsidRPr="00497407">
        <w:rPr>
          <w:rFonts w:ascii="Times New Roman" w:hAnsi="Times New Roman" w:cs="Times New Roman"/>
        </w:rPr>
        <w:t>El nuevo sistema, por medio de controles anticipados a nacionales de terceros países exentos de visado, tiene como finalidad “mejorar la seguridad interior, prevenir la inmigración ilegal, proteger la salud pública y reducir los retrasos en las fronteras”</w:t>
      </w:r>
      <w:r w:rsidR="00497407" w:rsidRPr="00497407">
        <w:rPr>
          <w:rFonts w:ascii="Times New Roman" w:hAnsi="Times New Roman" w:cs="Times New Roman"/>
        </w:rPr>
        <w:t xml:space="preserve"> (Consejo Europeo,</w:t>
      </w:r>
      <w:r w:rsidR="00006FAA">
        <w:rPr>
          <w:rFonts w:ascii="Times New Roman" w:hAnsi="Times New Roman" w:cs="Times New Roman"/>
        </w:rPr>
        <w:t>2018</w:t>
      </w:r>
      <w:r w:rsidR="00497407" w:rsidRPr="00497407">
        <w:rPr>
          <w:rFonts w:ascii="Times New Roman" w:hAnsi="Times New Roman" w:cs="Times New Roman"/>
        </w:rPr>
        <w:t>)</w:t>
      </w:r>
      <w:r w:rsidR="00ED6DEA" w:rsidRPr="00497407">
        <w:rPr>
          <w:rFonts w:ascii="Times New Roman" w:hAnsi="Times New Roman" w:cs="Times New Roman"/>
        </w:rPr>
        <w:t xml:space="preserve"> </w:t>
      </w:r>
      <w:r w:rsidR="007E089A" w:rsidRPr="00497407">
        <w:rPr>
          <w:rFonts w:ascii="Times New Roman" w:hAnsi="Times New Roman" w:cs="Times New Roman"/>
        </w:rPr>
        <w:t>El 25 abril de 2018,</w:t>
      </w:r>
      <w:r w:rsidR="00355525" w:rsidRPr="00497407">
        <w:rPr>
          <w:rFonts w:ascii="Times New Roman" w:hAnsi="Times New Roman" w:cs="Times New Roman"/>
        </w:rPr>
        <w:t xml:space="preserve"> fue confirmado el acuerdo </w:t>
      </w:r>
      <w:r w:rsidR="007E089A" w:rsidRPr="00497407">
        <w:rPr>
          <w:rFonts w:ascii="Times New Roman" w:hAnsi="Times New Roman" w:cs="Times New Roman"/>
        </w:rPr>
        <w:t>r</w:t>
      </w:r>
      <w:r w:rsidR="00355525" w:rsidRPr="00497407">
        <w:rPr>
          <w:rFonts w:ascii="Times New Roman" w:hAnsi="Times New Roman" w:cs="Times New Roman"/>
        </w:rPr>
        <w:t>especto al Reglamento del SEIAV entre el Parlamento Europeo y la Presidencia del Consejo</w:t>
      </w:r>
      <w:r w:rsidR="003D26BD" w:rsidRPr="00497407">
        <w:rPr>
          <w:rFonts w:ascii="Times New Roman" w:hAnsi="Times New Roman" w:cs="Times New Roman"/>
        </w:rPr>
        <w:t xml:space="preserve">. Aun así, falta una última etapa: la votación del Reglamento por parte del PE y su posterior adopción por el Consejo. </w:t>
      </w:r>
    </w:p>
    <w:p w14:paraId="72812736" w14:textId="42BEC6F5" w:rsidR="003D26BD" w:rsidRPr="00497407" w:rsidRDefault="00E56664" w:rsidP="00497407">
      <w:pPr>
        <w:spacing w:line="360" w:lineRule="auto"/>
        <w:jc w:val="both"/>
        <w:rPr>
          <w:rFonts w:ascii="Times New Roman" w:hAnsi="Times New Roman" w:cs="Times New Roman"/>
          <w:lang w:val="es-AR"/>
        </w:rPr>
      </w:pPr>
      <w:r w:rsidRPr="00497407">
        <w:rPr>
          <w:rFonts w:ascii="Times New Roman" w:hAnsi="Times New Roman" w:cs="Times New Roman"/>
        </w:rPr>
        <w:t xml:space="preserve">El 2 de mayo de 2017, la CE declaró que se haría una última prórroga por seis meses para los países que habían introducido controles fronterizos, luego del cual deberán ser suprimidos. </w:t>
      </w:r>
      <w:r w:rsidRPr="00497407">
        <w:rPr>
          <w:rFonts w:ascii="Times New Roman" w:hAnsi="Times New Roman" w:cs="Times New Roman"/>
          <w:lang w:val="es-AR"/>
        </w:rPr>
        <w:t xml:space="preserve">Así lo declaró su primer vicepresidente, Frans Timmermans (2017): </w:t>
      </w:r>
      <w:r w:rsidR="003D26BD" w:rsidRPr="00497407">
        <w:rPr>
          <w:rFonts w:ascii="Times New Roman" w:hAnsi="Times New Roman" w:cs="Times New Roman"/>
          <w:lang w:val="es-AR"/>
        </w:rPr>
        <w:t xml:space="preserve">“Gracias a nuestros esfuerzos en conjunto, nuestras fronteras externas ahora son más fuertes y seguras. </w:t>
      </w:r>
      <w:r w:rsidR="00571467" w:rsidRPr="00497407">
        <w:rPr>
          <w:rFonts w:ascii="Times New Roman" w:hAnsi="Times New Roman" w:cs="Times New Roman"/>
          <w:lang w:val="es-AR"/>
        </w:rPr>
        <w:t>Trabajar en equipo</w:t>
      </w:r>
      <w:r w:rsidR="003D26BD" w:rsidRPr="00497407">
        <w:rPr>
          <w:rFonts w:ascii="Times New Roman" w:hAnsi="Times New Roman" w:cs="Times New Roman"/>
          <w:lang w:val="es-AR"/>
        </w:rPr>
        <w:t xml:space="preserve"> nos </w:t>
      </w:r>
      <w:r w:rsidR="00571467" w:rsidRPr="00497407">
        <w:rPr>
          <w:rFonts w:ascii="Times New Roman" w:hAnsi="Times New Roman" w:cs="Times New Roman"/>
          <w:lang w:val="es-AR"/>
        </w:rPr>
        <w:t>dio más seguridad y libertad de movimiento. Eso quiere decir que en seis meses volveremos a tener un área Schengen completamente funcional sin controles fronterizos internos”</w:t>
      </w:r>
      <w:r w:rsidR="00571467" w:rsidRPr="00497407">
        <w:rPr>
          <w:rStyle w:val="Refdenotaalpie"/>
          <w:rFonts w:ascii="Times New Roman" w:hAnsi="Times New Roman" w:cs="Times New Roman"/>
          <w:lang w:val="es-AR"/>
        </w:rPr>
        <w:footnoteReference w:id="5"/>
      </w:r>
      <w:r w:rsidR="0035029C">
        <w:rPr>
          <w:rFonts w:ascii="Times New Roman" w:hAnsi="Times New Roman" w:cs="Times New Roman"/>
          <w:lang w:val="es-AR"/>
        </w:rPr>
        <w:t>.</w:t>
      </w:r>
    </w:p>
    <w:p w14:paraId="744C51A4" w14:textId="581AFB2F"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Según datos de la Comisión Europea, con la mejora en la seguridad de los bordes exteriores y la limitación de la migración irregular, gracias a la incorporación de la Agencia europea de fronteras y guardacostas y el acuerdo de 2016 con Turquía</w:t>
      </w:r>
      <w:r w:rsidRPr="00497407">
        <w:rPr>
          <w:rStyle w:val="Ancladenotaalpie"/>
          <w:rFonts w:ascii="Times New Roman" w:hAnsi="Times New Roman" w:cs="Times New Roman"/>
        </w:rPr>
        <w:footnoteReference w:id="6"/>
      </w:r>
      <w:r w:rsidRPr="00497407">
        <w:rPr>
          <w:rFonts w:ascii="Times New Roman" w:hAnsi="Times New Roman" w:cs="Times New Roman"/>
        </w:rPr>
        <w:t xml:space="preserve"> la migración irregular ha decrecido en un 97%.</w:t>
      </w:r>
    </w:p>
    <w:p w14:paraId="2EE508A6" w14:textId="77777777" w:rsidR="00B3628D" w:rsidRPr="00497407" w:rsidRDefault="00571467">
      <w:pPr>
        <w:spacing w:line="360" w:lineRule="auto"/>
        <w:jc w:val="both"/>
        <w:rPr>
          <w:rFonts w:ascii="Times New Roman" w:hAnsi="Times New Roman" w:cs="Times New Roman"/>
        </w:rPr>
      </w:pPr>
      <w:r w:rsidRPr="00497407">
        <w:rPr>
          <w:rFonts w:ascii="Times New Roman" w:hAnsi="Times New Roman" w:cs="Times New Roman"/>
        </w:rPr>
        <w:t>A</w:t>
      </w:r>
      <w:r w:rsidR="00E56664" w:rsidRPr="00497407">
        <w:rPr>
          <w:rFonts w:ascii="Times New Roman" w:hAnsi="Times New Roman" w:cs="Times New Roman"/>
        </w:rPr>
        <w:t xml:space="preserve"> pesar de las mejoras que se han realizado en las fronteras externas, Bruselas pretende aumentar el periodo para mantener los controles fronterizos internos. Así. el día 27 de septiembre de 2017, el Comisario de Migraciones e Interior, Dimitris Avramopolous, declaró que la Comisión Europea propuso la reforma del Código de Fronteras Schengen. La reforma busca expandir el periodo de controles fronterizos internos a tres años. </w:t>
      </w:r>
    </w:p>
    <w:p w14:paraId="23899CC0" w14:textId="77777777"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lastRenderedPageBreak/>
        <w:t>La propuesta plantea la ampliación del plazo de seis meses a un año y adicionar un segundo plazo de dos años más en caso de que las amenazas a la seguridad persistan. La prórroga del plazo no sería automática, sino que se requiere de la recomendación del Consejo en relación a la opinión expresada por la Comisión.</w:t>
      </w:r>
    </w:p>
    <w:p w14:paraId="714F406C" w14:textId="1E232201" w:rsidR="00B3628D" w:rsidRPr="00497407" w:rsidRDefault="00E56664">
      <w:pPr>
        <w:spacing w:line="360" w:lineRule="auto"/>
        <w:jc w:val="both"/>
      </w:pPr>
      <w:r w:rsidRPr="00497407">
        <w:rPr>
          <w:rFonts w:ascii="Times New Roman" w:hAnsi="Times New Roman" w:cs="Times New Roman"/>
        </w:rPr>
        <w:t xml:space="preserve">En el comunicado, la Comisión Europea detalló que la actualización del Código se debe a nuevos retos y necesidades actuales, entendiendo que su creación se estableció en un contexto diferente. Según el Comisario Avramopoulos, el área Schengen es considerada como uno de los mayores logros de la integración europea y es por ello que debe ser preservada y resguardada. Así, la propuesta planteada por la CE busca lograr un equilibrio entre la libre circulación en su interior y una mayor seguridad. </w:t>
      </w:r>
    </w:p>
    <w:p w14:paraId="086764CD" w14:textId="40D4B186"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 xml:space="preserve">En noviembre de 2017 </w:t>
      </w:r>
      <w:r w:rsidR="005751C0">
        <w:rPr>
          <w:rFonts w:ascii="Times New Roman" w:hAnsi="Times New Roman" w:cs="Times New Roman"/>
        </w:rPr>
        <w:t xml:space="preserve">cinco </w:t>
      </w:r>
      <w:r w:rsidRPr="00497407">
        <w:rPr>
          <w:rFonts w:ascii="Times New Roman" w:hAnsi="Times New Roman" w:cs="Times New Roman"/>
        </w:rPr>
        <w:t>Estados de Schengen (Alemania, Austria, Francia, Suecia, Dinamarca) notificaron a la CE, la intención de extender por seis meses más, hasta mayo de 2018, los controles fronterizos. El gobierno de Francia notificó el mantenimiento de controles en la totalidad de sus fronteras internas, mientras que los cinco Estados restantes mantendrán controles fronterizos en determinadas fronteras:</w:t>
      </w:r>
    </w:p>
    <w:p w14:paraId="0192BFCD" w14:textId="77777777" w:rsidR="00B3628D" w:rsidRPr="00497407" w:rsidRDefault="00E56664">
      <w:pPr>
        <w:numPr>
          <w:ilvl w:val="0"/>
          <w:numId w:val="3"/>
        </w:numPr>
        <w:spacing w:line="360" w:lineRule="auto"/>
        <w:contextualSpacing/>
        <w:jc w:val="both"/>
        <w:rPr>
          <w:rFonts w:ascii="Times New Roman" w:hAnsi="Times New Roman" w:cs="Times New Roman"/>
        </w:rPr>
      </w:pPr>
      <w:r w:rsidRPr="00497407">
        <w:rPr>
          <w:rFonts w:ascii="Times New Roman" w:hAnsi="Times New Roman" w:cs="Times New Roman"/>
        </w:rPr>
        <w:t xml:space="preserve">Alemania mantendrá controles en la frontera con Austria </w:t>
      </w:r>
    </w:p>
    <w:p w14:paraId="75D4DF34" w14:textId="77777777" w:rsidR="00B3628D" w:rsidRPr="00497407" w:rsidRDefault="00E56664">
      <w:pPr>
        <w:numPr>
          <w:ilvl w:val="0"/>
          <w:numId w:val="3"/>
        </w:numPr>
        <w:spacing w:line="360" w:lineRule="auto"/>
        <w:contextualSpacing/>
        <w:jc w:val="both"/>
        <w:rPr>
          <w:rFonts w:ascii="Times New Roman" w:hAnsi="Times New Roman" w:cs="Times New Roman"/>
        </w:rPr>
      </w:pPr>
      <w:r w:rsidRPr="00497407">
        <w:rPr>
          <w:rFonts w:ascii="Times New Roman" w:hAnsi="Times New Roman" w:cs="Times New Roman"/>
        </w:rPr>
        <w:t>Dinamarca mantendrá controles en la frontera con Alemania</w:t>
      </w:r>
    </w:p>
    <w:p w14:paraId="16B13E8F" w14:textId="77777777" w:rsidR="00B3628D" w:rsidRPr="00497407" w:rsidRDefault="00E56664">
      <w:pPr>
        <w:numPr>
          <w:ilvl w:val="0"/>
          <w:numId w:val="3"/>
        </w:numPr>
        <w:spacing w:line="360" w:lineRule="auto"/>
        <w:contextualSpacing/>
        <w:jc w:val="both"/>
        <w:rPr>
          <w:rFonts w:ascii="Times New Roman" w:hAnsi="Times New Roman" w:cs="Times New Roman"/>
        </w:rPr>
      </w:pPr>
      <w:r w:rsidRPr="00497407">
        <w:rPr>
          <w:rFonts w:ascii="Times New Roman" w:hAnsi="Times New Roman" w:cs="Times New Roman"/>
        </w:rPr>
        <w:t>Suecia mantendrá controles en los puertos de las regiones del sur y del oeste, y mantendrá controles en el puente Öresund que conecta Suecia con Dinamarca.</w:t>
      </w:r>
    </w:p>
    <w:p w14:paraId="28B9A64E" w14:textId="77777777" w:rsidR="00B3628D" w:rsidRPr="00497407" w:rsidRDefault="00B3628D">
      <w:pPr>
        <w:spacing w:line="360" w:lineRule="auto"/>
        <w:ind w:left="788"/>
        <w:contextualSpacing/>
        <w:jc w:val="both"/>
        <w:rPr>
          <w:rFonts w:ascii="Times New Roman" w:hAnsi="Times New Roman" w:cs="Times New Roman"/>
        </w:rPr>
      </w:pPr>
    </w:p>
    <w:p w14:paraId="752DCB36" w14:textId="0496D75A" w:rsidR="00B3628D" w:rsidRPr="009930A5" w:rsidRDefault="00F86E34">
      <w:pPr>
        <w:spacing w:line="360" w:lineRule="auto"/>
        <w:jc w:val="both"/>
        <w:rPr>
          <w:rFonts w:ascii="Times New Roman" w:hAnsi="Times New Roman" w:cs="Times New Roman"/>
        </w:rPr>
      </w:pPr>
      <w:r>
        <w:rPr>
          <w:rFonts w:ascii="Times New Roman" w:hAnsi="Times New Roman" w:cs="Times New Roman"/>
        </w:rPr>
        <w:t>En marzo de 2018 el</w:t>
      </w:r>
      <w:r w:rsidR="00E56664" w:rsidRPr="00497407">
        <w:rPr>
          <w:rFonts w:ascii="Times New Roman" w:hAnsi="Times New Roman" w:cs="Times New Roman"/>
        </w:rPr>
        <w:t xml:space="preserve"> nuevo ministro de Interior alemán, Horst Seehofer</w:t>
      </w:r>
      <w:r>
        <w:rPr>
          <w:rFonts w:ascii="Times New Roman" w:hAnsi="Times New Roman" w:cs="Times New Roman"/>
        </w:rPr>
        <w:t xml:space="preserve">, durante una entrevista con el periódico Welt am Sonntag, </w:t>
      </w:r>
      <w:r w:rsidR="00E56664" w:rsidRPr="00497407">
        <w:rPr>
          <w:rFonts w:ascii="Times New Roman" w:hAnsi="Times New Roman" w:cs="Times New Roman"/>
        </w:rPr>
        <w:t xml:space="preserve">se pronunció a favor de prolongar los controles fronterizos </w:t>
      </w:r>
      <w:r w:rsidR="009930A5">
        <w:rPr>
          <w:rFonts w:ascii="Times New Roman" w:hAnsi="Times New Roman" w:cs="Times New Roman"/>
        </w:rPr>
        <w:t xml:space="preserve">“mientras </w:t>
      </w:r>
      <w:r w:rsidR="00E56664" w:rsidRPr="00497407">
        <w:rPr>
          <w:rFonts w:ascii="Times New Roman" w:hAnsi="Times New Roman" w:cs="Times New Roman"/>
        </w:rPr>
        <w:t xml:space="preserve">la UE no </w:t>
      </w:r>
      <w:r w:rsidR="009930A5">
        <w:rPr>
          <w:rFonts w:ascii="Times New Roman" w:hAnsi="Times New Roman" w:cs="Times New Roman"/>
        </w:rPr>
        <w:t>esté en condiciones de</w:t>
      </w:r>
      <w:r w:rsidR="00E56664" w:rsidRPr="00497407">
        <w:rPr>
          <w:rFonts w:ascii="Times New Roman" w:hAnsi="Times New Roman" w:cs="Times New Roman"/>
        </w:rPr>
        <w:t xml:space="preserve"> </w:t>
      </w:r>
      <w:r w:rsidR="009930A5">
        <w:rPr>
          <w:rFonts w:ascii="Times New Roman" w:hAnsi="Times New Roman" w:cs="Times New Roman"/>
        </w:rPr>
        <w:t>proteger sus fronteras […]”</w:t>
      </w:r>
      <w:r>
        <w:rPr>
          <w:rFonts w:ascii="Times New Roman" w:hAnsi="Times New Roman" w:cs="Times New Roman"/>
        </w:rPr>
        <w:t xml:space="preserve">. </w:t>
      </w:r>
      <w:r w:rsidR="00E56664" w:rsidRPr="00497407">
        <w:rPr>
          <w:rFonts w:ascii="Times New Roman" w:hAnsi="Times New Roman" w:cs="Times New Roman"/>
        </w:rPr>
        <w:t xml:space="preserve"> Po</w:t>
      </w:r>
      <w:r w:rsidR="00850D1D">
        <w:rPr>
          <w:rFonts w:ascii="Times New Roman" w:hAnsi="Times New Roman" w:cs="Times New Roman"/>
        </w:rPr>
        <w:t>r su parte, Merkel expresó su apoyo a las declaraciones del ministro Seehofer. De acuerdo a lo expresado por su portavoz, Steffen Seibert</w:t>
      </w:r>
      <w:r w:rsidR="009630ED">
        <w:rPr>
          <w:rFonts w:ascii="Times New Roman" w:hAnsi="Times New Roman" w:cs="Times New Roman"/>
        </w:rPr>
        <w:t>,</w:t>
      </w:r>
      <w:r w:rsidR="00850D1D">
        <w:rPr>
          <w:rFonts w:ascii="Times New Roman" w:hAnsi="Times New Roman" w:cs="Times New Roman"/>
        </w:rPr>
        <w:t xml:space="preserve"> “La canciller y el ministro de Interior acordaron que actualmente es necesario una prórroga de los controles en las fronteras alemanas”.</w:t>
      </w:r>
    </w:p>
    <w:p w14:paraId="78D9BE64" w14:textId="2254554B" w:rsidR="00B3628D" w:rsidRPr="00497407" w:rsidRDefault="00E56664">
      <w:pPr>
        <w:spacing w:line="360" w:lineRule="auto"/>
        <w:jc w:val="both"/>
        <w:rPr>
          <w:rFonts w:ascii="Times New Roman" w:hAnsi="Times New Roman" w:cs="Times New Roman"/>
        </w:rPr>
      </w:pPr>
      <w:r w:rsidRPr="00497407">
        <w:rPr>
          <w:rFonts w:ascii="Times New Roman" w:hAnsi="Times New Roman" w:cs="Times New Roman"/>
        </w:rPr>
        <w:t xml:space="preserve">La clara resistencia a eliminar los controles fronterizos internos por parte de los gobiernos de los Estados miembros surge ante la crisis migratoria y la amenaza terrorista de los últimos años, que ponen en peligro la seguridad interna y el orden público. Esto lleva a los Estados a priorizar sus propios intereses, lo cual compromete la conservación del espacio Schengen. Por su parte, Bruselas intentará preservarlo y resguardarlo dándole mayor flexibilidad con su nueva propuesta, entendiendo que el área Schengen es esencial para el proceso de integración, y una posible renuncia a aquella podría suponer un riesgo para el futuro de la Unión Europea. </w:t>
      </w:r>
    </w:p>
    <w:p w14:paraId="5469F232" w14:textId="77777777" w:rsidR="00B3628D" w:rsidRDefault="00B3628D">
      <w:pPr>
        <w:spacing w:line="360" w:lineRule="auto"/>
        <w:jc w:val="both"/>
        <w:rPr>
          <w:rFonts w:ascii="Times New Roman" w:hAnsi="Times New Roman" w:cs="Times New Roman"/>
          <w:sz w:val="24"/>
          <w:szCs w:val="24"/>
        </w:rPr>
      </w:pPr>
    </w:p>
    <w:p w14:paraId="7F7D4958" w14:textId="77777777" w:rsidR="00B3628D" w:rsidRDefault="00B3628D">
      <w:pPr>
        <w:spacing w:line="360" w:lineRule="auto"/>
        <w:jc w:val="both"/>
        <w:rPr>
          <w:rFonts w:ascii="Times New Roman" w:hAnsi="Times New Roman" w:cs="Times New Roman"/>
        </w:rPr>
      </w:pPr>
    </w:p>
    <w:p w14:paraId="0473A55D" w14:textId="77777777" w:rsidR="00B3628D" w:rsidRDefault="00B3628D">
      <w:pPr>
        <w:spacing w:line="360" w:lineRule="auto"/>
        <w:jc w:val="both"/>
        <w:rPr>
          <w:rFonts w:ascii="Times New Roman" w:hAnsi="Times New Roman" w:cs="Times New Roman"/>
        </w:rPr>
      </w:pPr>
    </w:p>
    <w:p w14:paraId="17F5DFFA" w14:textId="77777777" w:rsidR="00850D1D" w:rsidRDefault="00850D1D">
      <w:pPr>
        <w:spacing w:line="360" w:lineRule="auto"/>
        <w:jc w:val="both"/>
        <w:rPr>
          <w:rFonts w:ascii="Times New Roman" w:hAnsi="Times New Roman" w:cs="Times New Roman"/>
        </w:rPr>
      </w:pPr>
    </w:p>
    <w:p w14:paraId="5D58B271" w14:textId="202DCBF3" w:rsidR="00B3628D" w:rsidRDefault="00E56664">
      <w:pPr>
        <w:spacing w:line="360" w:lineRule="auto"/>
        <w:jc w:val="both"/>
      </w:pPr>
      <w:r>
        <w:rPr>
          <w:rFonts w:ascii="Times New Roman" w:hAnsi="Times New Roman" w:cs="Times New Roman"/>
        </w:rPr>
        <w:t xml:space="preserve">BIBLIOGRAFIA: </w:t>
      </w:r>
    </w:p>
    <w:p w14:paraId="2EC28878" w14:textId="77777777" w:rsidR="00B3628D" w:rsidRDefault="00E56664">
      <w:pPr>
        <w:numPr>
          <w:ilvl w:val="0"/>
          <w:numId w:val="1"/>
        </w:numPr>
        <w:spacing w:line="360" w:lineRule="auto"/>
        <w:contextualSpacing/>
        <w:jc w:val="both"/>
      </w:pPr>
      <w:r>
        <w:rPr>
          <w:rFonts w:ascii="Times New Roman" w:hAnsi="Times New Roman" w:cs="Times New Roman"/>
        </w:rPr>
        <w:t xml:space="preserve">Bellan, L. (27 de septiembre de 2017). Bruselas propone ampliar a tres años los controles en el área Schengen. Diario El Pais. [consultado 19-10-2017] disponible en: </w:t>
      </w:r>
      <w:hyperlink r:id="rId9">
        <w:r>
          <w:rPr>
            <w:rStyle w:val="ListLabel10"/>
          </w:rPr>
          <w:t>https://elpais.com/internacional/2017/09/27/actualidad/1506510854_332681.html</w:t>
        </w:r>
      </w:hyperlink>
      <w:r>
        <w:rPr>
          <w:rFonts w:ascii="Times New Roman" w:hAnsi="Times New Roman" w:cs="Times New Roman"/>
        </w:rPr>
        <w:t xml:space="preserve">. </w:t>
      </w:r>
    </w:p>
    <w:p w14:paraId="77FA4140" w14:textId="77777777" w:rsidR="00B3628D" w:rsidRPr="009D7519" w:rsidRDefault="00E56664">
      <w:pPr>
        <w:numPr>
          <w:ilvl w:val="0"/>
          <w:numId w:val="1"/>
        </w:numPr>
        <w:spacing w:line="360" w:lineRule="auto"/>
        <w:contextualSpacing/>
        <w:jc w:val="both"/>
        <w:rPr>
          <w:lang w:val="fr-FR"/>
        </w:rPr>
      </w:pPr>
      <w:r w:rsidRPr="009D7519">
        <w:rPr>
          <w:rFonts w:ascii="Times New Roman" w:hAnsi="Times New Roman" w:cs="Times New Roman"/>
          <w:lang w:val="fr-FR"/>
        </w:rPr>
        <w:t xml:space="preserve">Collet, Elizabeth (2017) Destination: Europe. Foreign Affairs [consultado 20-9-2017]. disponible en: </w:t>
      </w:r>
      <w:hyperlink r:id="rId10">
        <w:r w:rsidRPr="009D7519">
          <w:rPr>
            <w:rStyle w:val="ListLabel11"/>
            <w:lang w:val="fr-FR"/>
          </w:rPr>
          <w:t>https://www.foreignaffairs.com/reviews/review-essay/2017-02-13/destination-europe</w:t>
        </w:r>
      </w:hyperlink>
    </w:p>
    <w:p w14:paraId="56A63666" w14:textId="77777777" w:rsidR="00B3628D" w:rsidRDefault="00E56664">
      <w:pPr>
        <w:numPr>
          <w:ilvl w:val="0"/>
          <w:numId w:val="1"/>
        </w:numPr>
        <w:spacing w:line="360" w:lineRule="auto"/>
        <w:contextualSpacing/>
        <w:jc w:val="both"/>
      </w:pPr>
      <w:r>
        <w:rPr>
          <w:rFonts w:ascii="Times New Roman" w:hAnsi="Times New Roman" w:cs="Times New Roman"/>
        </w:rPr>
        <w:t xml:space="preserve">Comisión Europea: “Schengen Área”. Comisión Europea [consultado 1-10-2017] disponible en: </w:t>
      </w:r>
      <w:hyperlink r:id="rId11">
        <w:r>
          <w:rPr>
            <w:rStyle w:val="ListLabel10"/>
          </w:rPr>
          <w:t>https://ec.europa.eu/home-affairs/sites/homeaffairs/files/e-library/docs/schengen_brochure/schengen_brochure_dr3111126_es.pdf</w:t>
        </w:r>
      </w:hyperlink>
    </w:p>
    <w:p w14:paraId="4181D486" w14:textId="77777777" w:rsidR="00B3628D" w:rsidRDefault="00E56664">
      <w:pPr>
        <w:numPr>
          <w:ilvl w:val="0"/>
          <w:numId w:val="1"/>
        </w:numPr>
        <w:spacing w:line="360" w:lineRule="auto"/>
        <w:contextualSpacing/>
        <w:jc w:val="both"/>
      </w:pPr>
      <w:r>
        <w:rPr>
          <w:rFonts w:ascii="Times New Roman" w:hAnsi="Times New Roman" w:cs="Times New Roman"/>
        </w:rPr>
        <w:t xml:space="preserve">Comisión Europea: “migration”. Comisión Europea [consultado 23-10-2017] disponible en: </w:t>
      </w:r>
      <w:hyperlink r:id="rId12">
        <w:r>
          <w:rPr>
            <w:rStyle w:val="ListLabel10"/>
          </w:rPr>
          <w:t>https://ec.europa.eu/commission/news/migration-and-asylum-policy-schengen-area-and-future-europe-2017-sep-27_es</w:t>
        </w:r>
      </w:hyperlink>
    </w:p>
    <w:p w14:paraId="2CC300FB" w14:textId="77777777" w:rsidR="00B3628D" w:rsidRDefault="00E56664">
      <w:pPr>
        <w:numPr>
          <w:ilvl w:val="0"/>
          <w:numId w:val="1"/>
        </w:numPr>
        <w:spacing w:line="360" w:lineRule="auto"/>
        <w:contextualSpacing/>
        <w:jc w:val="both"/>
      </w:pPr>
      <w:r>
        <w:rPr>
          <w:rFonts w:ascii="Times New Roman" w:hAnsi="Times New Roman" w:cs="Times New Roman"/>
          <w:lang w:val="en-GB"/>
        </w:rPr>
        <w:t xml:space="preserve">Comisión Europea “migration and home affairs. </w:t>
      </w:r>
      <w:r>
        <w:rPr>
          <w:rFonts w:ascii="Times New Roman" w:hAnsi="Times New Roman" w:cs="Times New Roman"/>
          <w:lang w:val="es-AR"/>
        </w:rPr>
        <w:t>Comisón Europea [consultado 22-03-2018] disponible en:</w:t>
      </w:r>
      <w:r>
        <w:rPr>
          <w:lang w:val="es-AR"/>
        </w:rPr>
        <w:t xml:space="preserve"> </w:t>
      </w:r>
      <w:hyperlink r:id="rId13">
        <w:r>
          <w:rPr>
            <w:rStyle w:val="ListLabel12"/>
          </w:rPr>
          <w:t>https://ec.europa.eu/home-affairs/what-we-do/policies/borders-and-visas/schengen/reintroduction-border-control_en</w:t>
        </w:r>
      </w:hyperlink>
    </w:p>
    <w:p w14:paraId="50097107" w14:textId="15EDCC2D" w:rsidR="00B3628D" w:rsidRPr="005751C0" w:rsidRDefault="00E56664">
      <w:pPr>
        <w:numPr>
          <w:ilvl w:val="0"/>
          <w:numId w:val="1"/>
        </w:numPr>
        <w:spacing w:line="360" w:lineRule="auto"/>
        <w:contextualSpacing/>
        <w:jc w:val="both"/>
        <w:rPr>
          <w:rStyle w:val="EnlacedeInternet"/>
          <w:color w:val="auto"/>
          <w:u w:val="none"/>
        </w:rPr>
      </w:pPr>
      <w:r>
        <w:rPr>
          <w:rFonts w:ascii="Times New Roman" w:hAnsi="Times New Roman" w:cs="Times New Roman"/>
          <w:lang w:val="en-GB"/>
        </w:rPr>
        <w:t xml:space="preserve">Comisión Europea: Communication from the Commission to the European Parliament and the Council, on preserving and strengthening Schengen. </w:t>
      </w:r>
      <w:r>
        <w:rPr>
          <w:rFonts w:ascii="Times New Roman" w:hAnsi="Times New Roman" w:cs="Times New Roman"/>
          <w:lang w:val="es-AR"/>
        </w:rPr>
        <w:t xml:space="preserve">Comisión Europea [consultado 22-10-2017] disponible en: </w:t>
      </w:r>
      <w:hyperlink r:id="rId14">
        <w:r>
          <w:rPr>
            <w:rStyle w:val="EnlacedeInternet"/>
            <w:rFonts w:ascii="Times New Roman" w:hAnsi="Times New Roman" w:cs="Times New Roman"/>
            <w:lang w:val="es-AR"/>
          </w:rPr>
          <w:t>https://ec.europa.eu/home-affairs/sites/homeaffairs/files/what</w:t>
        </w:r>
        <w:r>
          <w:rPr>
            <w:rStyle w:val="EnlacedeInternet"/>
            <w:rFonts w:ascii="Times New Roman" w:hAnsi="Times New Roman" w:cs="Times New Roman"/>
          </w:rPr>
          <w:t>-we-do/policies/european-agenda-</w:t>
        </w:r>
        <w:r>
          <w:rPr>
            <w:rStyle w:val="EnlacedeInternet"/>
            <w:rFonts w:ascii="Times New Roman" w:hAnsi="Times New Roman" w:cs="Times New Roman"/>
            <w:lang w:val="es-AR"/>
          </w:rPr>
          <w:t>migration/20170927_communication_on_preserving_and_strengthening_schengen_en.pdf</w:t>
        </w:r>
      </w:hyperlink>
    </w:p>
    <w:p w14:paraId="5EBEA37A" w14:textId="30B602FB" w:rsidR="005751C0" w:rsidRPr="00850D1D" w:rsidRDefault="005751C0" w:rsidP="005751C0">
      <w:pPr>
        <w:numPr>
          <w:ilvl w:val="0"/>
          <w:numId w:val="1"/>
        </w:numPr>
        <w:spacing w:line="360" w:lineRule="auto"/>
        <w:contextualSpacing/>
        <w:jc w:val="both"/>
        <w:rPr>
          <w:rStyle w:val="Hipervnculo"/>
          <w:color w:val="auto"/>
          <w:u w:val="none"/>
        </w:rPr>
      </w:pPr>
      <w:r w:rsidRPr="005751C0">
        <w:rPr>
          <w:rFonts w:ascii="Times New Roman" w:hAnsi="Times New Roman" w:cs="Times New Roman"/>
        </w:rPr>
        <w:t>Consejo Europeo (25 de abril de 2018). Consejo Europea Sistema Europeo de Información y Autorización de Viajes (SEIAV): el Consejo confirma el acuerdo con el Parlamento Europeo. [Comunicado de Prensa]. Disponible</w:t>
      </w:r>
      <w:r>
        <w:t xml:space="preserve"> en</w:t>
      </w:r>
      <w:r w:rsidRPr="005751C0">
        <w:t xml:space="preserve">: </w:t>
      </w:r>
      <w:hyperlink r:id="rId15" w:history="1">
        <w:r w:rsidRPr="005751C0">
          <w:rPr>
            <w:rStyle w:val="Hipervnculo"/>
          </w:rPr>
          <w:t>http://www.consilium.europa.eu/es/press/press-releases/2018/04/25/european-travel-information-and-authorisation-system-etias-council-confirms-agreement-with-european-parliament/pdf</w:t>
        </w:r>
      </w:hyperlink>
    </w:p>
    <w:p w14:paraId="519D2735" w14:textId="1E4D2DBA" w:rsidR="00850D1D" w:rsidRPr="005751C0" w:rsidRDefault="00850D1D" w:rsidP="00850D1D">
      <w:pPr>
        <w:numPr>
          <w:ilvl w:val="0"/>
          <w:numId w:val="1"/>
        </w:numPr>
        <w:spacing w:line="360" w:lineRule="auto"/>
        <w:contextualSpacing/>
        <w:jc w:val="both"/>
      </w:pPr>
      <w:r>
        <w:rPr>
          <w:rStyle w:val="Hipervnculo"/>
          <w:color w:val="auto"/>
          <w:u w:val="none"/>
        </w:rPr>
        <w:t xml:space="preserve">Merkel apoya mantener a largo plazo los controles fronterizos. (19 de marzo de 2018) Europa Press [consultado 21-03-2018]. Disponible en: </w:t>
      </w:r>
      <w:hyperlink r:id="rId16" w:history="1">
        <w:r w:rsidRPr="00850D1D">
          <w:rPr>
            <w:rStyle w:val="Hipervnculo"/>
          </w:rPr>
          <w:t>http://www.europapress.es/internacional/noticia-merkel-apoya-mantener-largo-plazo-controles-fronterizos-20180319175342.html</w:t>
        </w:r>
      </w:hyperlink>
    </w:p>
    <w:p w14:paraId="64D47076" w14:textId="3BDE91AC" w:rsidR="00850D1D" w:rsidRDefault="00E56664" w:rsidP="00850D1D">
      <w:pPr>
        <w:numPr>
          <w:ilvl w:val="0"/>
          <w:numId w:val="1"/>
        </w:numPr>
        <w:spacing w:line="360" w:lineRule="auto"/>
        <w:contextualSpacing/>
        <w:jc w:val="both"/>
      </w:pPr>
      <w:r>
        <w:rPr>
          <w:rFonts w:ascii="Times New Roman" w:hAnsi="Times New Roman" w:cs="Times New Roman"/>
        </w:rPr>
        <w:t>Merkel respalda prolongar controles en Schengen. (19 de marzo de 2018) Deutsche Welle [consultado 21- 03-2018]. Disponible en:</w:t>
      </w:r>
      <w:r>
        <w:rPr>
          <w:rFonts w:ascii="Times New Roman" w:hAnsi="Times New Roman" w:cs="Times New Roman"/>
          <w:color w:val="0563C1" w:themeColor="hyperlink"/>
        </w:rPr>
        <w:t xml:space="preserve"> </w:t>
      </w:r>
      <w:hyperlink r:id="rId17">
        <w:r>
          <w:rPr>
            <w:rStyle w:val="ListLabel10"/>
          </w:rPr>
          <w:t>http://www.dw.com/es/merkel-respalda-prolongar-controles-en-schengen/a-43044119</w:t>
        </w:r>
      </w:hyperlink>
    </w:p>
    <w:p w14:paraId="1F9B5756" w14:textId="45D6A97D" w:rsidR="00B3628D" w:rsidRDefault="00E56664">
      <w:pPr>
        <w:numPr>
          <w:ilvl w:val="0"/>
          <w:numId w:val="1"/>
        </w:numPr>
        <w:spacing w:line="360" w:lineRule="auto"/>
        <w:contextualSpacing/>
        <w:jc w:val="both"/>
      </w:pPr>
      <w:r>
        <w:rPr>
          <w:rFonts w:ascii="Times New Roman" w:hAnsi="Times New Roman" w:cs="Times New Roman"/>
        </w:rPr>
        <w:t xml:space="preserve">Parlamento Europeo: “Gestión de las fronteras exteriores”. Parlamento Europeo [consultado 23-9-2017] </w:t>
      </w:r>
      <w:r w:rsidR="005751C0">
        <w:rPr>
          <w:rFonts w:ascii="Times New Roman" w:hAnsi="Times New Roman" w:cs="Times New Roman"/>
        </w:rPr>
        <w:t>Disponible en</w:t>
      </w:r>
      <w:r>
        <w:rPr>
          <w:rFonts w:ascii="Times New Roman" w:hAnsi="Times New Roman" w:cs="Times New Roman"/>
        </w:rPr>
        <w:t xml:space="preserve">: </w:t>
      </w:r>
      <w:hyperlink r:id="rId18">
        <w:r>
          <w:rPr>
            <w:rStyle w:val="ListLabel10"/>
          </w:rPr>
          <w:t>http://www.europarl.europa.eu/atyourservice/es/displayFtu.html?ftuId=FTU_5.12.4.html</w:t>
        </w:r>
      </w:hyperlink>
    </w:p>
    <w:p w14:paraId="25722E7F" w14:textId="77777777" w:rsidR="00B3628D" w:rsidRDefault="00E56664">
      <w:pPr>
        <w:numPr>
          <w:ilvl w:val="0"/>
          <w:numId w:val="1"/>
        </w:numPr>
        <w:spacing w:line="360" w:lineRule="auto"/>
        <w:contextualSpacing/>
        <w:jc w:val="both"/>
        <w:rPr>
          <w:rFonts w:ascii="Times New Roman" w:hAnsi="Times New Roman" w:cs="Times New Roman"/>
        </w:rPr>
      </w:pPr>
      <w:r>
        <w:rPr>
          <w:rFonts w:ascii="Times New Roman" w:hAnsi="Times New Roman" w:cs="Times New Roman"/>
        </w:rPr>
        <w:t>Reglamento (CE) Nº 562/2006 del Parlamento Europeo y del Consejo de la Unión Europea, Diario Oficial de la Unión Europea, 15 de marzo de 2006.</w:t>
      </w:r>
    </w:p>
    <w:p w14:paraId="286E9714" w14:textId="77777777" w:rsidR="005B2502" w:rsidRDefault="005B2502" w:rsidP="005751C0">
      <w:pPr>
        <w:spacing w:line="360" w:lineRule="auto"/>
        <w:ind w:left="720"/>
        <w:contextualSpacing/>
        <w:jc w:val="both"/>
        <w:rPr>
          <w:rFonts w:ascii="Times New Roman" w:hAnsi="Times New Roman" w:cs="Times New Roman"/>
        </w:rPr>
      </w:pPr>
    </w:p>
    <w:sectPr w:rsidR="005B2502">
      <w:footerReference w:type="default" r:id="rId19"/>
      <w:pgSz w:w="11906" w:h="16838"/>
      <w:pgMar w:top="1417" w:right="1701" w:bottom="1417" w:left="1701" w:header="0" w:footer="708"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92115" w14:textId="77777777" w:rsidR="00172F08" w:rsidRDefault="00172F08">
      <w:pPr>
        <w:spacing w:after="0" w:line="240" w:lineRule="auto"/>
      </w:pPr>
      <w:r>
        <w:separator/>
      </w:r>
    </w:p>
  </w:endnote>
  <w:endnote w:type="continuationSeparator" w:id="0">
    <w:p w14:paraId="0CB412FD" w14:textId="77777777" w:rsidR="00172F08" w:rsidRDefault="00172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4412714"/>
      <w:docPartObj>
        <w:docPartGallery w:val="Page Numbers (Bottom of Page)"/>
        <w:docPartUnique/>
      </w:docPartObj>
    </w:sdtPr>
    <w:sdtEndPr/>
    <w:sdtContent>
      <w:p w14:paraId="1FFB103A" w14:textId="3C432E52" w:rsidR="00B3628D" w:rsidRDefault="00E56664">
        <w:pPr>
          <w:pStyle w:val="Piedepgina"/>
          <w:jc w:val="right"/>
        </w:pPr>
        <w:r>
          <w:fldChar w:fldCharType="begin"/>
        </w:r>
        <w:r>
          <w:instrText>PAGE</w:instrText>
        </w:r>
        <w:r>
          <w:fldChar w:fldCharType="separate"/>
        </w:r>
        <w:r w:rsidR="00833104">
          <w:rPr>
            <w:noProof/>
          </w:rPr>
          <w:t>2</w:t>
        </w:r>
        <w:r>
          <w:fldChar w:fldCharType="end"/>
        </w:r>
      </w:p>
    </w:sdtContent>
  </w:sdt>
  <w:p w14:paraId="7DAA5776" w14:textId="77777777" w:rsidR="00B3628D" w:rsidRDefault="00B362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077035" w14:textId="77777777" w:rsidR="00172F08" w:rsidRDefault="00172F08">
      <w:r>
        <w:separator/>
      </w:r>
    </w:p>
  </w:footnote>
  <w:footnote w:type="continuationSeparator" w:id="0">
    <w:p w14:paraId="71451312" w14:textId="77777777" w:rsidR="00172F08" w:rsidRDefault="00172F08">
      <w:r>
        <w:continuationSeparator/>
      </w:r>
    </w:p>
  </w:footnote>
  <w:footnote w:id="1">
    <w:p w14:paraId="23DBA0D3" w14:textId="4AF9F072" w:rsidR="00B3628D" w:rsidRPr="0035029C" w:rsidRDefault="0035029C">
      <w:pPr>
        <w:pStyle w:val="Textonotapie"/>
        <w:jc w:val="both"/>
        <w:rPr>
          <w:rFonts w:ascii="Times New Roman" w:hAnsi="Times New Roman" w:cs="Times New Roman"/>
          <w:lang w:val="es-AR"/>
        </w:rPr>
      </w:pPr>
      <w:r>
        <w:rPr>
          <w:rFonts w:ascii="Times New Roman" w:hAnsi="Times New Roman" w:cs="Times New Roman"/>
          <w:vertAlign w:val="superscript"/>
          <w:lang w:val="es-AR"/>
        </w:rPr>
        <w:t xml:space="preserve">1 </w:t>
      </w:r>
      <w:r w:rsidR="00E56664" w:rsidRPr="0035029C">
        <w:rPr>
          <w:rFonts w:ascii="Times New Roman" w:hAnsi="Times New Roman" w:cs="Times New Roman"/>
          <w:lang w:val="es-AR"/>
        </w:rPr>
        <w:t xml:space="preserve">De acuerdo a lo expresado en el Acuerdo Schengen, la cooperación policial pasiva implica la investigación, observancia y persecución de personas que hayan cometido un hecho delictivo por parte de agentes policiales de un Estado Schengen en otro. </w:t>
      </w:r>
    </w:p>
    <w:p w14:paraId="3BB592F2" w14:textId="77777777" w:rsidR="00B3628D" w:rsidRPr="00863BDD" w:rsidRDefault="00B3628D">
      <w:pPr>
        <w:pStyle w:val="Textonotapie"/>
        <w:jc w:val="both"/>
        <w:rPr>
          <w:lang w:val="es-AR"/>
        </w:rPr>
      </w:pPr>
    </w:p>
  </w:footnote>
  <w:footnote w:id="2">
    <w:p w14:paraId="0AD8DA31" w14:textId="402D5412" w:rsidR="000B11F8" w:rsidRPr="000B11F8" w:rsidRDefault="000B11F8" w:rsidP="00976A3E">
      <w:pPr>
        <w:pStyle w:val="Textonotapie"/>
        <w:jc w:val="both"/>
        <w:rPr>
          <w:rFonts w:ascii="Times New Roman" w:hAnsi="Times New Roman" w:cs="Times New Roman"/>
          <w:lang w:val="es-AR"/>
        </w:rPr>
      </w:pPr>
      <w:r w:rsidRPr="000B11F8">
        <w:rPr>
          <w:rStyle w:val="Refdenotaalpie"/>
          <w:rFonts w:ascii="Times New Roman" w:hAnsi="Times New Roman" w:cs="Times New Roman"/>
        </w:rPr>
        <w:footnoteRef/>
      </w:r>
      <w:r w:rsidRPr="000B11F8">
        <w:rPr>
          <w:rFonts w:ascii="Times New Roman" w:hAnsi="Times New Roman" w:cs="Times New Roman"/>
          <w:lang w:val="es-AR"/>
        </w:rPr>
        <w:t xml:space="preserve"> Se denomina Primavera Árabe a la serie de manifestaciones populares que se dieron en el Mundo Árabe. </w:t>
      </w:r>
      <w:r w:rsidR="00976A3E">
        <w:rPr>
          <w:rFonts w:ascii="Times New Roman" w:hAnsi="Times New Roman" w:cs="Times New Roman"/>
          <w:lang w:val="es-AR"/>
        </w:rPr>
        <w:t>L</w:t>
      </w:r>
      <w:r w:rsidRPr="000B11F8">
        <w:rPr>
          <w:rFonts w:ascii="Times New Roman" w:hAnsi="Times New Roman" w:cs="Times New Roman"/>
          <w:lang w:val="es-AR"/>
        </w:rPr>
        <w:t>as protestas</w:t>
      </w:r>
      <w:r w:rsidR="00976A3E">
        <w:rPr>
          <w:rFonts w:ascii="Times New Roman" w:hAnsi="Times New Roman" w:cs="Times New Roman"/>
          <w:lang w:val="es-AR"/>
        </w:rPr>
        <w:t xml:space="preserve"> que</w:t>
      </w:r>
      <w:r w:rsidRPr="000B11F8">
        <w:rPr>
          <w:rFonts w:ascii="Times New Roman" w:hAnsi="Times New Roman" w:cs="Times New Roman"/>
          <w:lang w:val="es-AR"/>
        </w:rPr>
        <w:t xml:space="preserve"> comenzaron en Túnez y</w:t>
      </w:r>
      <w:r w:rsidR="00976A3E">
        <w:rPr>
          <w:rFonts w:ascii="Times New Roman" w:hAnsi="Times New Roman" w:cs="Times New Roman"/>
          <w:lang w:val="es-AR"/>
        </w:rPr>
        <w:t xml:space="preserve"> que </w:t>
      </w:r>
      <w:r w:rsidRPr="000B11F8">
        <w:rPr>
          <w:rFonts w:ascii="Times New Roman" w:hAnsi="Times New Roman" w:cs="Times New Roman"/>
          <w:lang w:val="es-AR"/>
        </w:rPr>
        <w:t>se extendieron</w:t>
      </w:r>
      <w:r w:rsidR="00976A3E">
        <w:rPr>
          <w:rFonts w:ascii="Times New Roman" w:hAnsi="Times New Roman" w:cs="Times New Roman"/>
          <w:lang w:val="es-AR"/>
        </w:rPr>
        <w:t xml:space="preserve"> principalmente</w:t>
      </w:r>
      <w:r w:rsidRPr="000B11F8">
        <w:rPr>
          <w:rFonts w:ascii="Times New Roman" w:hAnsi="Times New Roman" w:cs="Times New Roman"/>
          <w:lang w:val="es-AR"/>
        </w:rPr>
        <w:t xml:space="preserve"> hacia Egipto, Yemen, </w:t>
      </w:r>
      <w:r w:rsidR="00976A3E" w:rsidRPr="000B11F8">
        <w:rPr>
          <w:rFonts w:ascii="Times New Roman" w:hAnsi="Times New Roman" w:cs="Times New Roman"/>
          <w:lang w:val="es-AR"/>
        </w:rPr>
        <w:t>Bahré</w:t>
      </w:r>
      <w:r w:rsidR="00976A3E">
        <w:rPr>
          <w:rFonts w:ascii="Times New Roman" w:hAnsi="Times New Roman" w:cs="Times New Roman"/>
          <w:lang w:val="es-AR"/>
        </w:rPr>
        <w:t>in, Libia y Siria, tenían como finalidad obtener de los regímenes reformas pol</w:t>
      </w:r>
      <w:r w:rsidR="00D525DE">
        <w:rPr>
          <w:rFonts w:ascii="Times New Roman" w:hAnsi="Times New Roman" w:cs="Times New Roman"/>
          <w:lang w:val="es-AR"/>
        </w:rPr>
        <w:t xml:space="preserve">íticas, </w:t>
      </w:r>
      <w:r w:rsidR="00976A3E">
        <w:rPr>
          <w:rFonts w:ascii="Times New Roman" w:hAnsi="Times New Roman" w:cs="Times New Roman"/>
          <w:lang w:val="es-AR"/>
        </w:rPr>
        <w:t>econ</w:t>
      </w:r>
      <w:r w:rsidR="00D525DE">
        <w:rPr>
          <w:rFonts w:ascii="Times New Roman" w:hAnsi="Times New Roman" w:cs="Times New Roman"/>
          <w:lang w:val="es-AR"/>
        </w:rPr>
        <w:t>ómicas y justicia social.</w:t>
      </w:r>
    </w:p>
  </w:footnote>
  <w:footnote w:id="3">
    <w:p w14:paraId="3FD33504" w14:textId="4A639BBA" w:rsidR="00445C1B" w:rsidRPr="0035029C" w:rsidRDefault="004A486F" w:rsidP="00555BF4">
      <w:pPr>
        <w:pStyle w:val="Textonotapie"/>
        <w:jc w:val="both"/>
        <w:rPr>
          <w:rFonts w:ascii="Times New Roman" w:hAnsi="Times New Roman" w:cs="Times New Roman"/>
          <w:lang w:val="es-ES"/>
        </w:rPr>
      </w:pPr>
      <w:r w:rsidRPr="0035029C">
        <w:rPr>
          <w:rStyle w:val="Refdenotaalpie"/>
          <w:rFonts w:ascii="Times New Roman" w:hAnsi="Times New Roman" w:cs="Times New Roman"/>
        </w:rPr>
        <w:footnoteRef/>
      </w:r>
      <w:r w:rsidR="0035029C">
        <w:rPr>
          <w:rFonts w:ascii="Times New Roman" w:hAnsi="Times New Roman" w:cs="Times New Roman"/>
          <w:lang w:val="es-ES"/>
        </w:rPr>
        <w:t xml:space="preserve"> </w:t>
      </w:r>
      <w:r w:rsidRPr="0035029C">
        <w:rPr>
          <w:rFonts w:ascii="Times New Roman" w:hAnsi="Times New Roman" w:cs="Times New Roman"/>
          <w:lang w:val="es-ES"/>
        </w:rPr>
        <w:t>En la noche del 13 de noviembre de 2015 en Paris se efectuaron</w:t>
      </w:r>
      <w:r w:rsidR="00555BF4" w:rsidRPr="0035029C">
        <w:rPr>
          <w:rFonts w:ascii="Times New Roman" w:hAnsi="Times New Roman" w:cs="Times New Roman"/>
          <w:lang w:val="es-ES"/>
        </w:rPr>
        <w:t xml:space="preserve"> en simultáneo</w:t>
      </w:r>
      <w:r w:rsidRPr="0035029C">
        <w:rPr>
          <w:rFonts w:ascii="Times New Roman" w:hAnsi="Times New Roman" w:cs="Times New Roman"/>
          <w:lang w:val="es-ES"/>
        </w:rPr>
        <w:t xml:space="preserve"> </w:t>
      </w:r>
      <w:r w:rsidR="00555BF4" w:rsidRPr="0035029C">
        <w:rPr>
          <w:rFonts w:ascii="Times New Roman" w:hAnsi="Times New Roman" w:cs="Times New Roman"/>
          <w:lang w:val="es-ES"/>
        </w:rPr>
        <w:t xml:space="preserve">seis </w:t>
      </w:r>
      <w:r w:rsidRPr="0035029C">
        <w:rPr>
          <w:rFonts w:ascii="Times New Roman" w:hAnsi="Times New Roman" w:cs="Times New Roman"/>
          <w:lang w:val="es-ES"/>
        </w:rPr>
        <w:t>ataques terroristas</w:t>
      </w:r>
      <w:r w:rsidR="00555BF4" w:rsidRPr="0035029C">
        <w:rPr>
          <w:rFonts w:ascii="Times New Roman" w:hAnsi="Times New Roman" w:cs="Times New Roman"/>
          <w:lang w:val="es-ES"/>
        </w:rPr>
        <w:t xml:space="preserve"> en los que murieron</w:t>
      </w:r>
      <w:r w:rsidR="00497407" w:rsidRPr="0035029C">
        <w:rPr>
          <w:rFonts w:ascii="Times New Roman" w:hAnsi="Times New Roman" w:cs="Times New Roman"/>
          <w:lang w:val="es-ES"/>
        </w:rPr>
        <w:t xml:space="preserve"> al menos 130</w:t>
      </w:r>
      <w:r w:rsidR="00555BF4" w:rsidRPr="0035029C">
        <w:rPr>
          <w:rFonts w:ascii="Times New Roman" w:hAnsi="Times New Roman" w:cs="Times New Roman"/>
          <w:lang w:val="es-ES"/>
        </w:rPr>
        <w:t xml:space="preserve"> personas. Los atentados fueron reivindicados por el Estados Islámico (IS).</w:t>
      </w:r>
    </w:p>
  </w:footnote>
  <w:footnote w:id="4">
    <w:p w14:paraId="24A5B1E5" w14:textId="57C8ED46" w:rsidR="00B3628D" w:rsidRPr="0035029C" w:rsidRDefault="00805130">
      <w:pPr>
        <w:pStyle w:val="Textonotapie"/>
        <w:jc w:val="both"/>
        <w:rPr>
          <w:rFonts w:ascii="Times New Roman" w:hAnsi="Times New Roman" w:cs="Times New Roman"/>
          <w:lang w:val="es-AR"/>
        </w:rPr>
      </w:pPr>
      <w:r w:rsidRPr="0035029C">
        <w:rPr>
          <w:rStyle w:val="Refdenotaalpie"/>
          <w:rFonts w:ascii="Times New Roman" w:hAnsi="Times New Roman" w:cs="Times New Roman"/>
        </w:rPr>
        <w:footnoteRef/>
      </w:r>
      <w:r w:rsidR="0035029C">
        <w:rPr>
          <w:rFonts w:ascii="Times New Roman" w:hAnsi="Times New Roman" w:cs="Times New Roman"/>
          <w:lang w:val="es-ES_tradnl"/>
        </w:rPr>
        <w:t xml:space="preserve"> </w:t>
      </w:r>
      <w:r w:rsidR="00E56664" w:rsidRPr="0035029C">
        <w:rPr>
          <w:rFonts w:ascii="Times New Roman" w:hAnsi="Times New Roman" w:cs="Times New Roman"/>
          <w:lang w:val="es-ES_tradnl"/>
        </w:rPr>
        <w:t>Bajo la regulación 2016/1624 se crea la Guardia Europea de Fronteras y Costas. Este nuevo organismo se encuentra compuesto por la Agencia Europea de Fronteras y Guardacostas y las autoridades nacionales y guardacostas responsables de la gestión de las fronteras. Su misión es la promoción, coordinación y desarrollo de las fronteras europeas. Dentro de sus funciones principales se puede destacar el monitoreo de los flujos migratorios.</w:t>
      </w:r>
    </w:p>
  </w:footnote>
  <w:footnote w:id="5">
    <w:p w14:paraId="03A6770F" w14:textId="3746E807" w:rsidR="00571467" w:rsidRPr="0035029C" w:rsidRDefault="00805130" w:rsidP="00571467">
      <w:pPr>
        <w:pStyle w:val="Textonotapie"/>
        <w:jc w:val="both"/>
        <w:rPr>
          <w:rFonts w:ascii="Times New Roman" w:hAnsi="Times New Roman" w:cs="Times New Roman"/>
        </w:rPr>
      </w:pPr>
      <w:r w:rsidRPr="0035029C">
        <w:rPr>
          <w:rStyle w:val="Refdenotaalpie"/>
          <w:rFonts w:ascii="Times New Roman" w:hAnsi="Times New Roman" w:cs="Times New Roman"/>
        </w:rPr>
        <w:footnoteRef/>
      </w:r>
      <w:r w:rsidRPr="0035029C">
        <w:rPr>
          <w:rFonts w:ascii="Times New Roman" w:hAnsi="Times New Roman" w:cs="Times New Roman"/>
        </w:rPr>
        <w:t xml:space="preserve"> </w:t>
      </w:r>
      <w:r w:rsidR="009D7519">
        <w:rPr>
          <w:rFonts w:ascii="Times New Roman" w:hAnsi="Times New Roman" w:cs="Times New Roman"/>
        </w:rPr>
        <w:t>“</w:t>
      </w:r>
      <w:r w:rsidR="00571467" w:rsidRPr="0035029C">
        <w:rPr>
          <w:rFonts w:ascii="Times New Roman" w:hAnsi="Times New Roman" w:cs="Times New Roman"/>
        </w:rPr>
        <w:t>Thanks to our joint efforts, our external borders are now stronger and more secure. By working together, it is possible to have both security and freedom of movement. This means that in six months' time we will get back to a fully functioning Schengen area wi</w:t>
      </w:r>
      <w:r w:rsidR="009D7519">
        <w:rPr>
          <w:rFonts w:ascii="Times New Roman" w:hAnsi="Times New Roman" w:cs="Times New Roman"/>
        </w:rPr>
        <w:t>thout internal border controls.”</w:t>
      </w:r>
    </w:p>
  </w:footnote>
  <w:footnote w:id="6">
    <w:p w14:paraId="24323E43" w14:textId="77777777" w:rsidR="00B3628D" w:rsidRPr="00863BDD" w:rsidRDefault="00805130">
      <w:pPr>
        <w:pStyle w:val="Textonotapie"/>
        <w:jc w:val="both"/>
        <w:rPr>
          <w:lang w:val="es-AR"/>
        </w:rPr>
      </w:pPr>
      <w:r w:rsidRPr="0035029C">
        <w:rPr>
          <w:rStyle w:val="Refdenotaalpie"/>
          <w:rFonts w:ascii="Times New Roman" w:hAnsi="Times New Roman" w:cs="Times New Roman"/>
        </w:rPr>
        <w:footnoteRef/>
      </w:r>
      <w:r w:rsidRPr="0035029C">
        <w:rPr>
          <w:rFonts w:ascii="Times New Roman" w:hAnsi="Times New Roman" w:cs="Times New Roman"/>
          <w:lang w:val="es-ES"/>
        </w:rPr>
        <w:t xml:space="preserve"> </w:t>
      </w:r>
      <w:r w:rsidR="00E56664" w:rsidRPr="0035029C">
        <w:rPr>
          <w:rFonts w:ascii="Times New Roman" w:hAnsi="Times New Roman" w:cs="Times New Roman"/>
          <w:lang w:val="es-ES"/>
        </w:rPr>
        <w:t>El acuerdo entre la Unión Europea y Turquía establece que “los migrantes irregulares y solicitantes de asilo que llegados a las islas griegas Grecia desde Turquía y cuyas solicitudes se las declara inadmisibles deben ser devueltos a este último país” (UE, 2016).  A cambio de ello, el país turco recibirá asistencia financiera y humanitaria y la posibilidad de que sus ciudadanos puedan viajar por los países de la zona Schengen sin requerir visado. Además, la UE se compromete a retomar el proceso de adhesión de Turquía a 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57D3C"/>
    <w:multiLevelType w:val="multilevel"/>
    <w:tmpl w:val="802A56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1A684238"/>
    <w:multiLevelType w:val="hybridMultilevel"/>
    <w:tmpl w:val="DEF276B2"/>
    <w:lvl w:ilvl="0" w:tplc="C2B88B2E">
      <w:start w:val="6"/>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D9727E4"/>
    <w:multiLevelType w:val="multilevel"/>
    <w:tmpl w:val="FC84ED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FCE051A"/>
    <w:multiLevelType w:val="multilevel"/>
    <w:tmpl w:val="D60294B4"/>
    <w:lvl w:ilvl="0">
      <w:start w:val="1"/>
      <w:numFmt w:val="bullet"/>
      <w:lvlText w:val=""/>
      <w:lvlJc w:val="left"/>
      <w:pPr>
        <w:ind w:left="788" w:hanging="360"/>
      </w:pPr>
      <w:rPr>
        <w:rFonts w:ascii="Symbol" w:hAnsi="Symbol" w:cs="Symbol" w:hint="default"/>
      </w:rPr>
    </w:lvl>
    <w:lvl w:ilvl="1">
      <w:start w:val="1"/>
      <w:numFmt w:val="bullet"/>
      <w:lvlText w:val="o"/>
      <w:lvlJc w:val="left"/>
      <w:pPr>
        <w:ind w:left="1508" w:hanging="360"/>
      </w:pPr>
      <w:rPr>
        <w:rFonts w:ascii="Courier New" w:hAnsi="Courier New" w:cs="Courier New" w:hint="default"/>
      </w:rPr>
    </w:lvl>
    <w:lvl w:ilvl="2">
      <w:start w:val="1"/>
      <w:numFmt w:val="bullet"/>
      <w:lvlText w:val=""/>
      <w:lvlJc w:val="left"/>
      <w:pPr>
        <w:ind w:left="2228" w:hanging="360"/>
      </w:pPr>
      <w:rPr>
        <w:rFonts w:ascii="Wingdings" w:hAnsi="Wingdings" w:cs="Wingdings" w:hint="default"/>
      </w:rPr>
    </w:lvl>
    <w:lvl w:ilvl="3">
      <w:start w:val="1"/>
      <w:numFmt w:val="bullet"/>
      <w:lvlText w:val=""/>
      <w:lvlJc w:val="left"/>
      <w:pPr>
        <w:ind w:left="2948" w:hanging="360"/>
      </w:pPr>
      <w:rPr>
        <w:rFonts w:ascii="Symbol" w:hAnsi="Symbol" w:cs="Symbol" w:hint="default"/>
      </w:rPr>
    </w:lvl>
    <w:lvl w:ilvl="4">
      <w:start w:val="1"/>
      <w:numFmt w:val="bullet"/>
      <w:lvlText w:val="o"/>
      <w:lvlJc w:val="left"/>
      <w:pPr>
        <w:ind w:left="3668" w:hanging="360"/>
      </w:pPr>
      <w:rPr>
        <w:rFonts w:ascii="Courier New" w:hAnsi="Courier New" w:cs="Courier New" w:hint="default"/>
      </w:rPr>
    </w:lvl>
    <w:lvl w:ilvl="5">
      <w:start w:val="1"/>
      <w:numFmt w:val="bullet"/>
      <w:lvlText w:val=""/>
      <w:lvlJc w:val="left"/>
      <w:pPr>
        <w:ind w:left="4388" w:hanging="360"/>
      </w:pPr>
      <w:rPr>
        <w:rFonts w:ascii="Wingdings" w:hAnsi="Wingdings" w:cs="Wingdings" w:hint="default"/>
      </w:rPr>
    </w:lvl>
    <w:lvl w:ilvl="6">
      <w:start w:val="1"/>
      <w:numFmt w:val="bullet"/>
      <w:lvlText w:val=""/>
      <w:lvlJc w:val="left"/>
      <w:pPr>
        <w:ind w:left="5108" w:hanging="360"/>
      </w:pPr>
      <w:rPr>
        <w:rFonts w:ascii="Symbol" w:hAnsi="Symbol" w:cs="Symbol" w:hint="default"/>
      </w:rPr>
    </w:lvl>
    <w:lvl w:ilvl="7">
      <w:start w:val="1"/>
      <w:numFmt w:val="bullet"/>
      <w:lvlText w:val="o"/>
      <w:lvlJc w:val="left"/>
      <w:pPr>
        <w:ind w:left="5828" w:hanging="360"/>
      </w:pPr>
      <w:rPr>
        <w:rFonts w:ascii="Courier New" w:hAnsi="Courier New" w:cs="Courier New" w:hint="default"/>
      </w:rPr>
    </w:lvl>
    <w:lvl w:ilvl="8">
      <w:start w:val="1"/>
      <w:numFmt w:val="bullet"/>
      <w:lvlText w:val=""/>
      <w:lvlJc w:val="left"/>
      <w:pPr>
        <w:ind w:left="6548" w:hanging="360"/>
      </w:pPr>
      <w:rPr>
        <w:rFonts w:ascii="Wingdings" w:hAnsi="Wingdings" w:cs="Wingdings" w:hint="default"/>
      </w:rPr>
    </w:lvl>
  </w:abstractNum>
  <w:abstractNum w:abstractNumId="4">
    <w:nsid w:val="51503B42"/>
    <w:multiLevelType w:val="hybridMultilevel"/>
    <w:tmpl w:val="D41CF332"/>
    <w:lvl w:ilvl="0" w:tplc="5C9424C4">
      <w:start w:val="6"/>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58DC3B3B"/>
    <w:multiLevelType w:val="multilevel"/>
    <w:tmpl w:val="0E6C8C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28D"/>
    <w:rsid w:val="00006FAA"/>
    <w:rsid w:val="000B11F8"/>
    <w:rsid w:val="000E1124"/>
    <w:rsid w:val="00172F08"/>
    <w:rsid w:val="0035029C"/>
    <w:rsid w:val="00355525"/>
    <w:rsid w:val="003D26BD"/>
    <w:rsid w:val="00404871"/>
    <w:rsid w:val="00445C1B"/>
    <w:rsid w:val="00497407"/>
    <w:rsid w:val="004A486F"/>
    <w:rsid w:val="005467FA"/>
    <w:rsid w:val="00555BF4"/>
    <w:rsid w:val="00571467"/>
    <w:rsid w:val="00573C4A"/>
    <w:rsid w:val="005751C0"/>
    <w:rsid w:val="005B2502"/>
    <w:rsid w:val="00647FF0"/>
    <w:rsid w:val="006947B3"/>
    <w:rsid w:val="006F79A7"/>
    <w:rsid w:val="007030C8"/>
    <w:rsid w:val="007E089A"/>
    <w:rsid w:val="00805130"/>
    <w:rsid w:val="008270C4"/>
    <w:rsid w:val="00833104"/>
    <w:rsid w:val="00850D1D"/>
    <w:rsid w:val="00863BDD"/>
    <w:rsid w:val="0088643F"/>
    <w:rsid w:val="008C5E4E"/>
    <w:rsid w:val="009630ED"/>
    <w:rsid w:val="00976A3E"/>
    <w:rsid w:val="009930A5"/>
    <w:rsid w:val="009D7519"/>
    <w:rsid w:val="009F196E"/>
    <w:rsid w:val="00A02D92"/>
    <w:rsid w:val="00B02E67"/>
    <w:rsid w:val="00B3628D"/>
    <w:rsid w:val="00B537AB"/>
    <w:rsid w:val="00D525DE"/>
    <w:rsid w:val="00E33623"/>
    <w:rsid w:val="00E56664"/>
    <w:rsid w:val="00E9658F"/>
    <w:rsid w:val="00ED6DEA"/>
    <w:rsid w:val="00F244E1"/>
    <w:rsid w:val="00F42A7E"/>
    <w:rsid w:val="00F86E3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basedOn w:val="Fuentedeprrafopredeter"/>
    <w:link w:val="Piedepgina"/>
    <w:uiPriority w:val="99"/>
    <w:qFormat/>
    <w:rsid w:val="008163BA"/>
    <w:rPr>
      <w:lang w:val="en-GB"/>
    </w:rPr>
  </w:style>
  <w:style w:type="character" w:customStyle="1" w:styleId="TextonotapieCar">
    <w:name w:val="Texto nota pie Car"/>
    <w:basedOn w:val="Fuentedeprrafopredeter"/>
    <w:link w:val="Textonotapie"/>
    <w:uiPriority w:val="99"/>
    <w:qFormat/>
    <w:rsid w:val="008163BA"/>
    <w:rPr>
      <w:sz w:val="20"/>
      <w:szCs w:val="20"/>
      <w:lang w:val="en-GB"/>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iPriority w:val="99"/>
    <w:semiHidden/>
    <w:unhideWhenUsed/>
    <w:qFormat/>
    <w:rsid w:val="008163BA"/>
    <w:rPr>
      <w:vertAlign w:val="superscript"/>
    </w:rPr>
  </w:style>
  <w:style w:type="character" w:customStyle="1" w:styleId="TextodegloboCar">
    <w:name w:val="Texto de globo Car"/>
    <w:basedOn w:val="Fuentedeprrafopredeter"/>
    <w:link w:val="Textodeglobo"/>
    <w:uiPriority w:val="99"/>
    <w:semiHidden/>
    <w:qFormat/>
    <w:rsid w:val="008163BA"/>
    <w:rPr>
      <w:rFonts w:ascii="Segoe UI" w:hAnsi="Segoe UI" w:cs="Segoe UI"/>
      <w:sz w:val="18"/>
      <w:szCs w:val="18"/>
      <w:lang w:val="es-ES_tradnl"/>
    </w:rPr>
  </w:style>
  <w:style w:type="character" w:customStyle="1" w:styleId="EnlacedeInternet">
    <w:name w:val="Enlace de Internet"/>
    <w:basedOn w:val="Fuentedeprrafopredeter"/>
    <w:uiPriority w:val="99"/>
    <w:unhideWhenUsed/>
    <w:rsid w:val="00984EC9"/>
    <w:rPr>
      <w:color w:val="0563C1"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Times New Roman" w:hAnsi="Times New Roman" w:cs="Times New Roman"/>
      <w:color w:val="0563C1" w:themeColor="hyperlink"/>
      <w:u w:val="single"/>
    </w:rPr>
  </w:style>
  <w:style w:type="character" w:customStyle="1" w:styleId="ListLabel11">
    <w:name w:val="ListLabel 11"/>
    <w:qFormat/>
    <w:rPr>
      <w:rFonts w:ascii="Times New Roman" w:hAnsi="Times New Roman" w:cs="Times New Roman"/>
      <w:color w:val="0563C1" w:themeColor="hyperlink"/>
      <w:u w:val="single"/>
      <w:lang w:val="en-GB"/>
    </w:rPr>
  </w:style>
  <w:style w:type="character" w:customStyle="1" w:styleId="ListLabel12">
    <w:name w:val="ListLabel 12"/>
    <w:qFormat/>
    <w:rPr>
      <w:rFonts w:ascii="Times New Roman" w:hAnsi="Times New Roman" w:cs="Times New Roman"/>
      <w:color w:val="0563C1" w:themeColor="hyperlink"/>
      <w:u w:val="single"/>
      <w:lang w:val="es-AR"/>
    </w:rPr>
  </w:style>
  <w:style w:type="character" w:customStyle="1" w:styleId="ListLabel13">
    <w:name w:val="ListLabel 13"/>
    <w:qFormat/>
    <w:rPr>
      <w:rFonts w:ascii="Times New Roman" w:hAnsi="Times New Roman" w:cs="Times New Roman"/>
      <w:lang w:val="es-AR"/>
    </w:rPr>
  </w:style>
  <w:style w:type="character" w:customStyle="1" w:styleId="ListLabel14">
    <w:name w:val="ListLabel 14"/>
    <w:qFormat/>
    <w:rPr>
      <w:rFonts w:ascii="Times New Roman" w:hAnsi="Times New Roman" w:cs="Times New Roman"/>
    </w:rPr>
  </w:style>
  <w:style w:type="character" w:customStyle="1" w:styleId="Caracteresdenotaalpie">
    <w:name w:val="Caracteres de nota al pie"/>
    <w:qFormat/>
  </w:style>
  <w:style w:type="character" w:customStyle="1" w:styleId="Smbolosdenumeracin">
    <w:name w:val="Símbolos de numeración"/>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styleId="Ttulo">
    <w:name w:val="Title"/>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styleId="Piedepgina">
    <w:name w:val="footer"/>
    <w:basedOn w:val="Normal"/>
    <w:link w:val="PiedepginaCar"/>
    <w:uiPriority w:val="99"/>
    <w:unhideWhenUsed/>
    <w:rsid w:val="008163BA"/>
    <w:pPr>
      <w:tabs>
        <w:tab w:val="center" w:pos="4252"/>
        <w:tab w:val="right" w:pos="8504"/>
      </w:tabs>
      <w:spacing w:after="0" w:line="240" w:lineRule="auto"/>
    </w:pPr>
    <w:rPr>
      <w:lang w:val="en-GB"/>
    </w:rPr>
  </w:style>
  <w:style w:type="paragraph" w:styleId="Textonotapie">
    <w:name w:val="footnote text"/>
    <w:basedOn w:val="Normal"/>
    <w:link w:val="TextonotapieCar"/>
    <w:uiPriority w:val="99"/>
    <w:unhideWhenUsed/>
    <w:rsid w:val="008163BA"/>
    <w:pPr>
      <w:spacing w:after="0" w:line="240" w:lineRule="auto"/>
    </w:pPr>
    <w:rPr>
      <w:sz w:val="20"/>
      <w:szCs w:val="20"/>
      <w:lang w:val="en-GB"/>
    </w:rPr>
  </w:style>
  <w:style w:type="paragraph" w:styleId="Textodeglobo">
    <w:name w:val="Balloon Text"/>
    <w:basedOn w:val="Normal"/>
    <w:link w:val="TextodegloboCar"/>
    <w:uiPriority w:val="99"/>
    <w:semiHidden/>
    <w:unhideWhenUsed/>
    <w:qFormat/>
    <w:rsid w:val="008163BA"/>
    <w:pPr>
      <w:spacing w:after="0" w:line="240" w:lineRule="auto"/>
    </w:pPr>
    <w:rPr>
      <w:rFonts w:ascii="Segoe UI" w:hAnsi="Segoe UI" w:cs="Segoe UI"/>
      <w:sz w:val="18"/>
      <w:szCs w:val="1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lang w:val="es-ES_tradnl"/>
    </w:rPr>
  </w:style>
  <w:style w:type="character" w:styleId="Refdecomentario">
    <w:name w:val="annotation reference"/>
    <w:basedOn w:val="Fuentedeprrafopredeter"/>
    <w:uiPriority w:val="99"/>
    <w:semiHidden/>
    <w:unhideWhenUsed/>
    <w:rPr>
      <w:sz w:val="16"/>
      <w:szCs w:val="16"/>
    </w:rPr>
  </w:style>
  <w:style w:type="character" w:styleId="Hipervnculo">
    <w:name w:val="Hyperlink"/>
    <w:basedOn w:val="Fuentedeprrafopredeter"/>
    <w:uiPriority w:val="99"/>
    <w:unhideWhenUsed/>
    <w:rsid w:val="005B2502"/>
    <w:rPr>
      <w:color w:val="0563C1" w:themeColor="hyperlink"/>
      <w:u w:val="single"/>
    </w:rPr>
  </w:style>
  <w:style w:type="character" w:styleId="Hipervnculovisitado">
    <w:name w:val="FollowedHyperlink"/>
    <w:basedOn w:val="Fuentedeprrafopredeter"/>
    <w:uiPriority w:val="99"/>
    <w:semiHidden/>
    <w:unhideWhenUsed/>
    <w:rsid w:val="005B2502"/>
    <w:rPr>
      <w:color w:val="954F72" w:themeColor="followedHyperlink"/>
      <w:u w:val="single"/>
    </w:rPr>
  </w:style>
  <w:style w:type="paragraph" w:styleId="Textonotaalfinal">
    <w:name w:val="endnote text"/>
    <w:basedOn w:val="Normal"/>
    <w:link w:val="TextonotaalfinalCar"/>
    <w:uiPriority w:val="99"/>
    <w:semiHidden/>
    <w:unhideWhenUsed/>
    <w:rsid w:val="00445C1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5C1B"/>
    <w:rPr>
      <w:sz w:val="20"/>
      <w:szCs w:val="20"/>
      <w:lang w:val="es-ES_tradnl"/>
    </w:rPr>
  </w:style>
  <w:style w:type="character" w:styleId="Refdenotaalfinal">
    <w:name w:val="endnote reference"/>
    <w:basedOn w:val="Fuentedeprrafopredeter"/>
    <w:uiPriority w:val="99"/>
    <w:semiHidden/>
    <w:unhideWhenUsed/>
    <w:rsid w:val="00445C1B"/>
    <w:rPr>
      <w:vertAlign w:val="superscript"/>
    </w:rPr>
  </w:style>
  <w:style w:type="character" w:styleId="Refdenotaalpie">
    <w:name w:val="footnote reference"/>
    <w:basedOn w:val="Fuentedeprrafopredeter"/>
    <w:uiPriority w:val="99"/>
    <w:semiHidden/>
    <w:unhideWhenUsed/>
    <w:rsid w:val="00445C1B"/>
    <w:rPr>
      <w:vertAlign w:val="superscript"/>
    </w:rPr>
  </w:style>
  <w:style w:type="paragraph" w:styleId="Prrafodelista">
    <w:name w:val="List Paragraph"/>
    <w:basedOn w:val="Normal"/>
    <w:uiPriority w:val="34"/>
    <w:qFormat/>
    <w:rsid w:val="00497407"/>
    <w:pPr>
      <w:ind w:left="720"/>
      <w:contextualSpacing/>
    </w:pPr>
  </w:style>
  <w:style w:type="paragraph" w:styleId="Asuntodelcomentario">
    <w:name w:val="annotation subject"/>
    <w:basedOn w:val="Textocomentario"/>
    <w:next w:val="Textocomentario"/>
    <w:link w:val="AsuntodelcomentarioCar"/>
    <w:uiPriority w:val="99"/>
    <w:semiHidden/>
    <w:unhideWhenUsed/>
    <w:rsid w:val="0088643F"/>
    <w:rPr>
      <w:b/>
      <w:bCs/>
    </w:rPr>
  </w:style>
  <w:style w:type="character" w:customStyle="1" w:styleId="AsuntodelcomentarioCar">
    <w:name w:val="Asunto del comentario Car"/>
    <w:basedOn w:val="TextocomentarioCar"/>
    <w:link w:val="Asuntodelcomentario"/>
    <w:uiPriority w:val="99"/>
    <w:semiHidden/>
    <w:rsid w:val="0088643F"/>
    <w:rPr>
      <w:b/>
      <w:bCs/>
      <w:sz w:val="20"/>
      <w:szCs w:val="20"/>
      <w:lang w:val="es-ES_tradnl"/>
    </w:rPr>
  </w:style>
  <w:style w:type="paragraph" w:styleId="Revisin">
    <w:name w:val="Revision"/>
    <w:hidden/>
    <w:uiPriority w:val="99"/>
    <w:semiHidden/>
    <w:rsid w:val="009F196E"/>
    <w:rPr>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basedOn w:val="Fuentedeprrafopredeter"/>
    <w:link w:val="Piedepgina"/>
    <w:uiPriority w:val="99"/>
    <w:qFormat/>
    <w:rsid w:val="008163BA"/>
    <w:rPr>
      <w:lang w:val="en-GB"/>
    </w:rPr>
  </w:style>
  <w:style w:type="character" w:customStyle="1" w:styleId="TextonotapieCar">
    <w:name w:val="Texto nota pie Car"/>
    <w:basedOn w:val="Fuentedeprrafopredeter"/>
    <w:link w:val="Textonotapie"/>
    <w:uiPriority w:val="99"/>
    <w:qFormat/>
    <w:rsid w:val="008163BA"/>
    <w:rPr>
      <w:sz w:val="20"/>
      <w:szCs w:val="20"/>
      <w:lang w:val="en-GB"/>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iPriority w:val="99"/>
    <w:semiHidden/>
    <w:unhideWhenUsed/>
    <w:qFormat/>
    <w:rsid w:val="008163BA"/>
    <w:rPr>
      <w:vertAlign w:val="superscript"/>
    </w:rPr>
  </w:style>
  <w:style w:type="character" w:customStyle="1" w:styleId="TextodegloboCar">
    <w:name w:val="Texto de globo Car"/>
    <w:basedOn w:val="Fuentedeprrafopredeter"/>
    <w:link w:val="Textodeglobo"/>
    <w:uiPriority w:val="99"/>
    <w:semiHidden/>
    <w:qFormat/>
    <w:rsid w:val="008163BA"/>
    <w:rPr>
      <w:rFonts w:ascii="Segoe UI" w:hAnsi="Segoe UI" w:cs="Segoe UI"/>
      <w:sz w:val="18"/>
      <w:szCs w:val="18"/>
      <w:lang w:val="es-ES_tradnl"/>
    </w:rPr>
  </w:style>
  <w:style w:type="character" w:customStyle="1" w:styleId="EnlacedeInternet">
    <w:name w:val="Enlace de Internet"/>
    <w:basedOn w:val="Fuentedeprrafopredeter"/>
    <w:uiPriority w:val="99"/>
    <w:unhideWhenUsed/>
    <w:rsid w:val="00984EC9"/>
    <w:rPr>
      <w:color w:val="0563C1"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Times New Roman" w:hAnsi="Times New Roman" w:cs="Times New Roman"/>
      <w:color w:val="0563C1" w:themeColor="hyperlink"/>
      <w:u w:val="single"/>
    </w:rPr>
  </w:style>
  <w:style w:type="character" w:customStyle="1" w:styleId="ListLabel11">
    <w:name w:val="ListLabel 11"/>
    <w:qFormat/>
    <w:rPr>
      <w:rFonts w:ascii="Times New Roman" w:hAnsi="Times New Roman" w:cs="Times New Roman"/>
      <w:color w:val="0563C1" w:themeColor="hyperlink"/>
      <w:u w:val="single"/>
      <w:lang w:val="en-GB"/>
    </w:rPr>
  </w:style>
  <w:style w:type="character" w:customStyle="1" w:styleId="ListLabel12">
    <w:name w:val="ListLabel 12"/>
    <w:qFormat/>
    <w:rPr>
      <w:rFonts w:ascii="Times New Roman" w:hAnsi="Times New Roman" w:cs="Times New Roman"/>
      <w:color w:val="0563C1" w:themeColor="hyperlink"/>
      <w:u w:val="single"/>
      <w:lang w:val="es-AR"/>
    </w:rPr>
  </w:style>
  <w:style w:type="character" w:customStyle="1" w:styleId="ListLabel13">
    <w:name w:val="ListLabel 13"/>
    <w:qFormat/>
    <w:rPr>
      <w:rFonts w:ascii="Times New Roman" w:hAnsi="Times New Roman" w:cs="Times New Roman"/>
      <w:lang w:val="es-AR"/>
    </w:rPr>
  </w:style>
  <w:style w:type="character" w:customStyle="1" w:styleId="ListLabel14">
    <w:name w:val="ListLabel 14"/>
    <w:qFormat/>
    <w:rPr>
      <w:rFonts w:ascii="Times New Roman" w:hAnsi="Times New Roman" w:cs="Times New Roman"/>
    </w:rPr>
  </w:style>
  <w:style w:type="character" w:customStyle="1" w:styleId="Caracteresdenotaalpie">
    <w:name w:val="Caracteres de nota al pie"/>
    <w:qFormat/>
  </w:style>
  <w:style w:type="character" w:customStyle="1" w:styleId="Smbolosdenumeracin">
    <w:name w:val="Símbolos de numeración"/>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paragraph" w:styleId="Ttulo">
    <w:name w:val="Title"/>
    <w:basedOn w:val="Normal"/>
    <w:next w:val="Textoindependiente"/>
    <w:qFormat/>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styleId="Piedepgina">
    <w:name w:val="footer"/>
    <w:basedOn w:val="Normal"/>
    <w:link w:val="PiedepginaCar"/>
    <w:uiPriority w:val="99"/>
    <w:unhideWhenUsed/>
    <w:rsid w:val="008163BA"/>
    <w:pPr>
      <w:tabs>
        <w:tab w:val="center" w:pos="4252"/>
        <w:tab w:val="right" w:pos="8504"/>
      </w:tabs>
      <w:spacing w:after="0" w:line="240" w:lineRule="auto"/>
    </w:pPr>
    <w:rPr>
      <w:lang w:val="en-GB"/>
    </w:rPr>
  </w:style>
  <w:style w:type="paragraph" w:styleId="Textonotapie">
    <w:name w:val="footnote text"/>
    <w:basedOn w:val="Normal"/>
    <w:link w:val="TextonotapieCar"/>
    <w:uiPriority w:val="99"/>
    <w:unhideWhenUsed/>
    <w:rsid w:val="008163BA"/>
    <w:pPr>
      <w:spacing w:after="0" w:line="240" w:lineRule="auto"/>
    </w:pPr>
    <w:rPr>
      <w:sz w:val="20"/>
      <w:szCs w:val="20"/>
      <w:lang w:val="en-GB"/>
    </w:rPr>
  </w:style>
  <w:style w:type="paragraph" w:styleId="Textodeglobo">
    <w:name w:val="Balloon Text"/>
    <w:basedOn w:val="Normal"/>
    <w:link w:val="TextodegloboCar"/>
    <w:uiPriority w:val="99"/>
    <w:semiHidden/>
    <w:unhideWhenUsed/>
    <w:qFormat/>
    <w:rsid w:val="008163BA"/>
    <w:pPr>
      <w:spacing w:after="0" w:line="240" w:lineRule="auto"/>
    </w:pPr>
    <w:rPr>
      <w:rFonts w:ascii="Segoe UI" w:hAnsi="Segoe UI" w:cs="Segoe UI"/>
      <w:sz w:val="18"/>
      <w:szCs w:val="1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lang w:val="es-ES_tradnl"/>
    </w:rPr>
  </w:style>
  <w:style w:type="character" w:styleId="Refdecomentario">
    <w:name w:val="annotation reference"/>
    <w:basedOn w:val="Fuentedeprrafopredeter"/>
    <w:uiPriority w:val="99"/>
    <w:semiHidden/>
    <w:unhideWhenUsed/>
    <w:rPr>
      <w:sz w:val="16"/>
      <w:szCs w:val="16"/>
    </w:rPr>
  </w:style>
  <w:style w:type="character" w:styleId="Hipervnculo">
    <w:name w:val="Hyperlink"/>
    <w:basedOn w:val="Fuentedeprrafopredeter"/>
    <w:uiPriority w:val="99"/>
    <w:unhideWhenUsed/>
    <w:rsid w:val="005B2502"/>
    <w:rPr>
      <w:color w:val="0563C1" w:themeColor="hyperlink"/>
      <w:u w:val="single"/>
    </w:rPr>
  </w:style>
  <w:style w:type="character" w:styleId="Hipervnculovisitado">
    <w:name w:val="FollowedHyperlink"/>
    <w:basedOn w:val="Fuentedeprrafopredeter"/>
    <w:uiPriority w:val="99"/>
    <w:semiHidden/>
    <w:unhideWhenUsed/>
    <w:rsid w:val="005B2502"/>
    <w:rPr>
      <w:color w:val="954F72" w:themeColor="followedHyperlink"/>
      <w:u w:val="single"/>
    </w:rPr>
  </w:style>
  <w:style w:type="paragraph" w:styleId="Textonotaalfinal">
    <w:name w:val="endnote text"/>
    <w:basedOn w:val="Normal"/>
    <w:link w:val="TextonotaalfinalCar"/>
    <w:uiPriority w:val="99"/>
    <w:semiHidden/>
    <w:unhideWhenUsed/>
    <w:rsid w:val="00445C1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45C1B"/>
    <w:rPr>
      <w:sz w:val="20"/>
      <w:szCs w:val="20"/>
      <w:lang w:val="es-ES_tradnl"/>
    </w:rPr>
  </w:style>
  <w:style w:type="character" w:styleId="Refdenotaalfinal">
    <w:name w:val="endnote reference"/>
    <w:basedOn w:val="Fuentedeprrafopredeter"/>
    <w:uiPriority w:val="99"/>
    <w:semiHidden/>
    <w:unhideWhenUsed/>
    <w:rsid w:val="00445C1B"/>
    <w:rPr>
      <w:vertAlign w:val="superscript"/>
    </w:rPr>
  </w:style>
  <w:style w:type="character" w:styleId="Refdenotaalpie">
    <w:name w:val="footnote reference"/>
    <w:basedOn w:val="Fuentedeprrafopredeter"/>
    <w:uiPriority w:val="99"/>
    <w:semiHidden/>
    <w:unhideWhenUsed/>
    <w:rsid w:val="00445C1B"/>
    <w:rPr>
      <w:vertAlign w:val="superscript"/>
    </w:rPr>
  </w:style>
  <w:style w:type="paragraph" w:styleId="Prrafodelista">
    <w:name w:val="List Paragraph"/>
    <w:basedOn w:val="Normal"/>
    <w:uiPriority w:val="34"/>
    <w:qFormat/>
    <w:rsid w:val="00497407"/>
    <w:pPr>
      <w:ind w:left="720"/>
      <w:contextualSpacing/>
    </w:pPr>
  </w:style>
  <w:style w:type="paragraph" w:styleId="Asuntodelcomentario">
    <w:name w:val="annotation subject"/>
    <w:basedOn w:val="Textocomentario"/>
    <w:next w:val="Textocomentario"/>
    <w:link w:val="AsuntodelcomentarioCar"/>
    <w:uiPriority w:val="99"/>
    <w:semiHidden/>
    <w:unhideWhenUsed/>
    <w:rsid w:val="0088643F"/>
    <w:rPr>
      <w:b/>
      <w:bCs/>
    </w:rPr>
  </w:style>
  <w:style w:type="character" w:customStyle="1" w:styleId="AsuntodelcomentarioCar">
    <w:name w:val="Asunto del comentario Car"/>
    <w:basedOn w:val="TextocomentarioCar"/>
    <w:link w:val="Asuntodelcomentario"/>
    <w:uiPriority w:val="99"/>
    <w:semiHidden/>
    <w:rsid w:val="0088643F"/>
    <w:rPr>
      <w:b/>
      <w:bCs/>
      <w:sz w:val="20"/>
      <w:szCs w:val="20"/>
      <w:lang w:val="es-ES_tradnl"/>
    </w:rPr>
  </w:style>
  <w:style w:type="paragraph" w:styleId="Revisin">
    <w:name w:val="Revision"/>
    <w:hidden/>
    <w:uiPriority w:val="99"/>
    <w:semiHidden/>
    <w:rsid w:val="009F196E"/>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home-affairs/what-we-do/policies/borders-and-visas/schengen/reintroduction-border-control_en" TargetMode="External"/><Relationship Id="rId18" Type="http://schemas.openxmlformats.org/officeDocument/2006/relationships/hyperlink" Target="http://www.europarl.europa.eu/atyourservice/es/displayFtu.html?ftuId=FTU_5.12.4.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c.europa.eu/commission/news/migration-and-asylum-policy-schengen-area-and-future-europe-2017-sep-27_es" TargetMode="External"/><Relationship Id="rId17" Type="http://schemas.openxmlformats.org/officeDocument/2006/relationships/hyperlink" Target="http://www.dw.com/es/merkel-respalda-prolongar-controles-en-schengen/a-43044119" TargetMode="External"/><Relationship Id="rId2" Type="http://schemas.openxmlformats.org/officeDocument/2006/relationships/numbering" Target="numbering.xml"/><Relationship Id="rId16" Type="http://schemas.openxmlformats.org/officeDocument/2006/relationships/hyperlink" Target="http://www.europapress.es/internacional/noticia-merkel-apoya-mantener-largo-plazo-controles-fronterizos-20180319175342.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home-affairs/sites/homeaffairs/files/e-library/docs/schengen_brochure/schengen_brochure_dr3111126_es.pdf" TargetMode="External"/><Relationship Id="rId5" Type="http://schemas.openxmlformats.org/officeDocument/2006/relationships/settings" Target="settings.xml"/><Relationship Id="rId15" Type="http://schemas.openxmlformats.org/officeDocument/2006/relationships/hyperlink" Target="http://www.consilium.europa.eu/es/press/press-releases/2018/04/25/european-travel-information-and-authorisation-system-etias-council-confirms-agreement-with-european-parliament/pdf" TargetMode="External"/><Relationship Id="rId10" Type="http://schemas.openxmlformats.org/officeDocument/2006/relationships/hyperlink" Target="https://www.foreignaffairs.com/reviews/review-essay/2017-02-13/destination-europe"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lpais.com/internacional/2017/09/27/actualidad/1506510854_332681.html" TargetMode="External"/><Relationship Id="rId14" Type="http://schemas.openxmlformats.org/officeDocument/2006/relationships/hyperlink" Target="https://ec.europa.eu/home-affairs/sites/homeaffairs/files/what-we-do/policies/european-agenda-migration/20170927_communication_on_preserving_and_strengthening_schengen_en.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25D10-4EF2-47EF-B71A-63DDB3A26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2454</Words>
  <Characters>13501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dcterms:created xsi:type="dcterms:W3CDTF">2018-05-17T21:01:00Z</dcterms:created>
  <dcterms:modified xsi:type="dcterms:W3CDTF">2018-05-17T21:01:00Z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