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54B" w:rsidRPr="00960412" w:rsidRDefault="0067527A" w:rsidP="0011654B">
      <w:pPr>
        <w:jc w:val="center"/>
        <w:rPr>
          <w:rFonts w:cstheme="minorHAnsi"/>
          <w:sz w:val="24"/>
          <w:szCs w:val="24"/>
        </w:rPr>
      </w:pPr>
      <w:r w:rsidRPr="00960412">
        <w:rPr>
          <w:rFonts w:cstheme="minorHAnsi"/>
          <w:sz w:val="24"/>
          <w:szCs w:val="24"/>
        </w:rPr>
        <w:t xml:space="preserve"> </w:t>
      </w:r>
      <w:r w:rsidR="0011654B" w:rsidRPr="00960412">
        <w:rPr>
          <w:rFonts w:cstheme="minorHAnsi"/>
          <w:sz w:val="24"/>
          <w:szCs w:val="24"/>
        </w:rPr>
        <w:t>“</w:t>
      </w:r>
      <w:r w:rsidR="0011654B" w:rsidRPr="00A13DCD">
        <w:rPr>
          <w:rFonts w:cstheme="minorHAnsi"/>
          <w:b/>
          <w:sz w:val="24"/>
          <w:szCs w:val="24"/>
        </w:rPr>
        <w:t>Ustedes van a tomar la posta pero también son ahora agentes de cambio”. Producción de formas de ser joven, de participación política y de membresía en programas sociales del área metropolitana de Buenos Aires</w:t>
      </w:r>
    </w:p>
    <w:p w:rsidR="0011654B" w:rsidRPr="00960412" w:rsidRDefault="0011654B" w:rsidP="0011654B">
      <w:pPr>
        <w:jc w:val="right"/>
        <w:rPr>
          <w:rFonts w:cstheme="minorHAnsi"/>
          <w:sz w:val="24"/>
          <w:szCs w:val="24"/>
        </w:rPr>
      </w:pPr>
      <w:r w:rsidRPr="00960412">
        <w:rPr>
          <w:rFonts w:cstheme="minorHAnsi"/>
          <w:sz w:val="24"/>
          <w:szCs w:val="24"/>
        </w:rPr>
        <w:t xml:space="preserve">Carolina </w:t>
      </w:r>
      <w:proofErr w:type="spellStart"/>
      <w:r w:rsidRPr="00960412">
        <w:rPr>
          <w:rFonts w:cstheme="minorHAnsi"/>
          <w:sz w:val="24"/>
          <w:szCs w:val="24"/>
        </w:rPr>
        <w:t>Ciordia</w:t>
      </w:r>
      <w:proofErr w:type="spellEnd"/>
    </w:p>
    <w:p w:rsidR="0011654B" w:rsidRPr="00960412" w:rsidRDefault="0011654B" w:rsidP="0011654B">
      <w:pPr>
        <w:jc w:val="right"/>
        <w:rPr>
          <w:rFonts w:cstheme="minorHAnsi"/>
          <w:sz w:val="24"/>
          <w:szCs w:val="24"/>
        </w:rPr>
      </w:pPr>
      <w:r w:rsidRPr="00960412">
        <w:rPr>
          <w:rFonts w:cstheme="minorHAnsi"/>
          <w:sz w:val="24"/>
          <w:szCs w:val="24"/>
        </w:rPr>
        <w:t>CONICET-UBA</w:t>
      </w:r>
    </w:p>
    <w:p w:rsidR="0011654B" w:rsidRPr="00960412" w:rsidRDefault="0011654B" w:rsidP="0011654B">
      <w:pPr>
        <w:jc w:val="right"/>
        <w:rPr>
          <w:rFonts w:cstheme="minorHAnsi"/>
          <w:sz w:val="24"/>
          <w:szCs w:val="24"/>
        </w:rPr>
      </w:pPr>
      <w:r w:rsidRPr="00960412">
        <w:rPr>
          <w:rFonts w:cstheme="minorHAnsi"/>
          <w:sz w:val="24"/>
          <w:szCs w:val="24"/>
        </w:rPr>
        <w:t>carolinaciordia@yahoo.com.ar</w:t>
      </w:r>
    </w:p>
    <w:p w:rsidR="00FD454F" w:rsidRPr="0091560F" w:rsidRDefault="00960412" w:rsidP="00960412">
      <w:pPr>
        <w:jc w:val="both"/>
        <w:rPr>
          <w:b/>
        </w:rPr>
      </w:pPr>
      <w:r w:rsidRPr="0091560F">
        <w:rPr>
          <w:b/>
        </w:rPr>
        <w:t xml:space="preserve">Introducción </w:t>
      </w:r>
    </w:p>
    <w:p w:rsidR="002F545E" w:rsidRDefault="00F96D91" w:rsidP="00F96D91">
      <w:pPr>
        <w:jc w:val="both"/>
        <w:rPr>
          <w:rFonts w:cs="Adobe Garamond Pro"/>
        </w:rPr>
      </w:pPr>
      <w:r>
        <w:rPr>
          <w:rFonts w:cstheme="minorHAnsi"/>
        </w:rPr>
        <w:t xml:space="preserve">La </w:t>
      </w:r>
      <w:r>
        <w:rPr>
          <w:rFonts w:cs="Adobe Garamond Pro"/>
        </w:rPr>
        <w:t xml:space="preserve">relación entre los sujetos juveniles y las agencias estatales sufrió modificaciones en las primeras décadas del corriente siglo: si para los años ’90 las movilizaciones políticas juveniles se planteaban al Estado como adversario –una </w:t>
      </w:r>
      <w:r>
        <w:t xml:space="preserve">“militancia </w:t>
      </w:r>
      <w:r w:rsidRPr="00EE0CD0">
        <w:rPr>
          <w:i/>
        </w:rPr>
        <w:t>en paralelo o contra</w:t>
      </w:r>
      <w:r>
        <w:t xml:space="preserve"> </w:t>
      </w:r>
      <w:r w:rsidRPr="00EE0CD0">
        <w:rPr>
          <w:i/>
        </w:rPr>
        <w:t>el estado</w:t>
      </w:r>
      <w:r>
        <w:t>” (</w:t>
      </w:r>
      <w:proofErr w:type="spellStart"/>
      <w:r w:rsidR="00244145">
        <w:t>Vommaro</w:t>
      </w:r>
      <w:proofErr w:type="spellEnd"/>
      <w:r w:rsidR="00244145">
        <w:t xml:space="preserve">, </w:t>
      </w:r>
      <w:r>
        <w:t>2015:44, las cursivas pertenecen al autor)- en las décadas siguientes, se constituyó como una de las instituciones en las que se puede viabilizar la transformación social (</w:t>
      </w:r>
      <w:proofErr w:type="spellStart"/>
      <w:r>
        <w:t>Borobia</w:t>
      </w:r>
      <w:proofErr w:type="spellEnd"/>
      <w:r>
        <w:t xml:space="preserve"> et al., 2013). En ese marco, si </w:t>
      </w:r>
      <w:r w:rsidR="002F545E" w:rsidRPr="00BD29A6">
        <w:rPr>
          <w:rFonts w:cstheme="minorHAnsi"/>
        </w:rPr>
        <w:t xml:space="preserve">bien en nuestro país se pueden reconocer acciones estatales en pos de la promoción de la participación política juvenil desde fines de los años ochenta, </w:t>
      </w:r>
      <w:r w:rsidR="002F545E">
        <w:rPr>
          <w:rFonts w:cstheme="minorHAnsi"/>
        </w:rPr>
        <w:t xml:space="preserve">según una investigación de Melina Vázquez </w:t>
      </w:r>
      <w:r w:rsidR="002F545E" w:rsidRPr="00BD29A6">
        <w:rPr>
          <w:rFonts w:cstheme="minorHAnsi"/>
        </w:rPr>
        <w:t>(2015)</w:t>
      </w:r>
      <w:r w:rsidR="002F545E">
        <w:rPr>
          <w:rFonts w:cstheme="minorHAnsi"/>
        </w:rPr>
        <w:t xml:space="preserve">, </w:t>
      </w:r>
      <w:r w:rsidR="002F545E" w:rsidRPr="00BD29A6">
        <w:rPr>
          <w:rFonts w:cstheme="minorHAnsi"/>
        </w:rPr>
        <w:t xml:space="preserve">en el periodo 2010-2014, de un total de 170 políticas públicas destinadas a juventudes, una de cada cuatro tenía entre sus objetivos principales promover, propiciar o fortalecer experiencias de participación y organización juvenil. </w:t>
      </w:r>
      <w:r w:rsidR="002F545E">
        <w:rPr>
          <w:rFonts w:cstheme="minorHAnsi"/>
        </w:rPr>
        <w:t xml:space="preserve">En efecto, </w:t>
      </w:r>
      <w:r w:rsidR="002F545E" w:rsidRPr="00BD29A6">
        <w:rPr>
          <w:rFonts w:cstheme="minorHAnsi"/>
        </w:rPr>
        <w:t xml:space="preserve">en las gestiones del gobierno nacional iniciado a fines de 2007 hasta el año 2015, la participación juvenil revitalizó sus formas y se constituyó </w:t>
      </w:r>
      <w:r w:rsidR="002F545E">
        <w:rPr>
          <w:rFonts w:cstheme="minorHAnsi"/>
        </w:rPr>
        <w:t>en</w:t>
      </w:r>
      <w:r w:rsidR="002F545E" w:rsidRPr="00BD29A6">
        <w:rPr>
          <w:rFonts w:cstheme="minorHAnsi"/>
        </w:rPr>
        <w:t xml:space="preserve"> un tema central </w:t>
      </w:r>
      <w:r w:rsidR="002F545E">
        <w:rPr>
          <w:rFonts w:cstheme="minorHAnsi"/>
        </w:rPr>
        <w:t>de</w:t>
      </w:r>
      <w:r w:rsidR="002F545E" w:rsidRPr="00BD29A6">
        <w:rPr>
          <w:rFonts w:cstheme="minorHAnsi"/>
        </w:rPr>
        <w:t xml:space="preserve"> la agenda política, se sancionaron a nivel nacional varias leyes que reflejaron la oficialización de la juventud y la participación juvenil como causa pública (Vázquez, 2014).</w:t>
      </w:r>
      <w:r w:rsidR="002F545E">
        <w:rPr>
          <w:rFonts w:cstheme="minorHAnsi"/>
        </w:rPr>
        <w:t xml:space="preserve"> C</w:t>
      </w:r>
      <w:r w:rsidR="002F545E">
        <w:t xml:space="preserve">abe resaltar que las generaciones jóvenes fueron exitosamente interpeladas y movilizadas por organizaciones partidarias afines al </w:t>
      </w:r>
      <w:proofErr w:type="spellStart"/>
      <w:r w:rsidR="002F545E">
        <w:t>kirchnerismo</w:t>
      </w:r>
      <w:proofErr w:type="spellEnd"/>
      <w:r w:rsidR="002F545E">
        <w:t xml:space="preserve">, pero no sólo al interior de esta fuerza política (Vázquez </w:t>
      </w:r>
      <w:r w:rsidR="002F545E" w:rsidRPr="00F0014E">
        <w:rPr>
          <w:rFonts w:cs="Adobe Garamond Pro"/>
          <w:iCs/>
        </w:rPr>
        <w:t>et al.</w:t>
      </w:r>
      <w:r w:rsidR="002F545E">
        <w:rPr>
          <w:rFonts w:cs="Adobe Garamond Pro"/>
          <w:iCs/>
        </w:rPr>
        <w:t>,</w:t>
      </w:r>
      <w:r w:rsidR="002F545E">
        <w:rPr>
          <w:rFonts w:cs="Adobe Garamond Pro"/>
          <w:i/>
          <w:iCs/>
        </w:rPr>
        <w:t xml:space="preserve"> </w:t>
      </w:r>
      <w:r w:rsidR="002F545E">
        <w:rPr>
          <w:rFonts w:cs="Adobe Garamond Pro"/>
        </w:rPr>
        <w:t xml:space="preserve">2018), tal como se registra en aquellas de las “nuevas derechas” </w:t>
      </w:r>
      <w:r w:rsidR="002F545E">
        <w:rPr>
          <w:rFonts w:ascii="Arial" w:hAnsi="Arial" w:cs="Arial"/>
        </w:rPr>
        <w:t>(</w:t>
      </w:r>
      <w:r w:rsidR="002F545E">
        <w:rPr>
          <w:rFonts w:cs="Adobe Garamond Pro"/>
        </w:rPr>
        <w:t>Vázquez, 2023</w:t>
      </w:r>
      <w:r w:rsidR="002F545E">
        <w:rPr>
          <w:rFonts w:ascii="Arial" w:hAnsi="Arial" w:cs="Arial"/>
        </w:rPr>
        <w:t>)</w:t>
      </w:r>
      <w:r w:rsidR="002F545E">
        <w:rPr>
          <w:rFonts w:cs="Adobe Garamond Pro"/>
        </w:rPr>
        <w:t>.</w:t>
      </w:r>
    </w:p>
    <w:p w:rsidR="00985021" w:rsidRDefault="00F96D91" w:rsidP="00985021">
      <w:pPr>
        <w:jc w:val="both"/>
        <w:rPr>
          <w:rFonts w:cstheme="minorHAnsi"/>
        </w:rPr>
      </w:pPr>
      <w:r w:rsidRPr="00590A17">
        <w:rPr>
          <w:rFonts w:cstheme="minorHAnsi"/>
        </w:rPr>
        <w:t xml:space="preserve">En este contexto, me propongo analizar </w:t>
      </w:r>
      <w:r w:rsidR="00590A17" w:rsidRPr="00590A17">
        <w:rPr>
          <w:rFonts w:cstheme="minorHAnsi"/>
        </w:rPr>
        <w:t>las formas en que determina</w:t>
      </w:r>
      <w:r w:rsidR="002472BA">
        <w:rPr>
          <w:rFonts w:cstheme="minorHAnsi"/>
        </w:rPr>
        <w:t>da</w:t>
      </w:r>
      <w:r w:rsidR="00590A17" w:rsidRPr="00590A17">
        <w:rPr>
          <w:rFonts w:cstheme="minorHAnsi"/>
        </w:rPr>
        <w:t xml:space="preserve"> política gubernamental –que como toda política desarrolla prácticas de transmisión y reelaboración de marcos y sentimientos (</w:t>
      </w:r>
      <w:r w:rsidR="00A001D3">
        <w:t>Souza Lima y Macedo e Castro, 2015</w:t>
      </w:r>
      <w:r w:rsidR="00590A17" w:rsidRPr="00590A17">
        <w:rPr>
          <w:rFonts w:cstheme="minorHAnsi"/>
        </w:rPr>
        <w:t xml:space="preserve">), y </w:t>
      </w:r>
      <w:r w:rsidR="00673C4F">
        <w:rPr>
          <w:rFonts w:cstheme="minorHAnsi"/>
        </w:rPr>
        <w:t>produce</w:t>
      </w:r>
      <w:r w:rsidR="00590A17" w:rsidRPr="00590A17">
        <w:rPr>
          <w:rFonts w:cstheme="minorHAnsi"/>
        </w:rPr>
        <w:t xml:space="preserve"> subjetividades e identidades (Shore, 2010)- busca enseñar formas consideradas apropiadas de participar</w:t>
      </w:r>
      <w:r w:rsidR="002472BA">
        <w:rPr>
          <w:rFonts w:cstheme="minorHAnsi"/>
        </w:rPr>
        <w:t xml:space="preserve"> políticamente</w:t>
      </w:r>
      <w:r w:rsidR="00590A17" w:rsidRPr="00590A17">
        <w:rPr>
          <w:rFonts w:cstheme="minorHAnsi"/>
        </w:rPr>
        <w:t xml:space="preserve"> y</w:t>
      </w:r>
      <w:r w:rsidR="002472BA">
        <w:rPr>
          <w:rFonts w:cstheme="minorHAnsi"/>
        </w:rPr>
        <w:t>, en ese acto, establece diferenciaciones y fronteras entre grupos, construye un “nosotros” y consagra</w:t>
      </w:r>
      <w:r w:rsidR="00590A17" w:rsidRPr="00590A17">
        <w:rPr>
          <w:rFonts w:cstheme="minorHAnsi"/>
        </w:rPr>
        <w:t xml:space="preserve"> la membresía a </w:t>
      </w:r>
      <w:r w:rsidR="002472BA">
        <w:rPr>
          <w:rFonts w:cstheme="minorHAnsi"/>
        </w:rPr>
        <w:t>determinado espacio común.</w:t>
      </w:r>
      <w:r w:rsidR="00985021" w:rsidRPr="00381066">
        <w:rPr>
          <w:rStyle w:val="Refdenotaalpie"/>
          <w:rFonts w:cstheme="minorHAnsi"/>
        </w:rPr>
        <w:footnoteReference w:id="1"/>
      </w:r>
      <w:r w:rsidR="002472BA">
        <w:rPr>
          <w:rFonts w:cstheme="minorHAnsi"/>
        </w:rPr>
        <w:t xml:space="preserve"> </w:t>
      </w:r>
      <w:r w:rsidR="00985021" w:rsidRPr="00985021">
        <w:rPr>
          <w:rFonts w:cstheme="minorHAnsi"/>
        </w:rPr>
        <w:t>Específicamente, parto del análisis de un evento público que reunió a jóvenes de 13 a 19 años de edad junto a una activista política sobreviviente de lo que se conoció como la “Noche de los Lápices” en el marco del terrorismo de Estado desplegado en nuestro país durante la última dictadura cívico-militar,</w:t>
      </w:r>
      <w:r w:rsidR="00985021" w:rsidRPr="00985021">
        <w:rPr>
          <w:rStyle w:val="Refdenotaalpie"/>
          <w:rFonts w:cstheme="minorHAnsi"/>
        </w:rPr>
        <w:footnoteReference w:id="2"/>
      </w:r>
      <w:r w:rsidR="00985021" w:rsidRPr="00985021">
        <w:rPr>
          <w:rFonts w:cstheme="minorHAnsi"/>
        </w:rPr>
        <w:t xml:space="preserve"> en el marco del III Foro </w:t>
      </w:r>
      <w:r w:rsidR="00985021" w:rsidRPr="00EB42E4">
        <w:rPr>
          <w:rFonts w:cstheme="minorHAnsi"/>
        </w:rPr>
        <w:t>Internacional de Derechos Humanos.</w:t>
      </w:r>
      <w:r w:rsidR="00985021" w:rsidRPr="00EB42E4">
        <w:rPr>
          <w:rStyle w:val="Refdenotaalpie"/>
          <w:rFonts w:cstheme="minorHAnsi"/>
        </w:rPr>
        <w:footnoteReference w:id="3"/>
      </w:r>
      <w:r w:rsidR="00985021" w:rsidRPr="00EB42E4">
        <w:rPr>
          <w:rFonts w:cstheme="minorHAnsi"/>
        </w:rPr>
        <w:t xml:space="preserve"> La </w:t>
      </w:r>
      <w:r w:rsidR="00985021" w:rsidRPr="00EB42E4">
        <w:rPr>
          <w:rFonts w:cstheme="minorHAnsi"/>
        </w:rPr>
        <w:lastRenderedPageBreak/>
        <w:t xml:space="preserve">organización de dicho evento estuvo a cargo de un programa nacional de promoción del derecho a la participación social y política de los y las jóvenes </w:t>
      </w:r>
      <w:r w:rsidR="00EB42E4">
        <w:rPr>
          <w:rFonts w:cstheme="minorHAnsi"/>
        </w:rPr>
        <w:t>-</w:t>
      </w:r>
      <w:r w:rsidR="00EB42E4" w:rsidRPr="00EB42E4">
        <w:rPr>
          <w:rFonts w:cstheme="minorHAnsi"/>
        </w:rPr>
        <w:t>el Consejo Consultivo de Adolescentes (CCAS)</w:t>
      </w:r>
      <w:r w:rsidR="00EB42E4" w:rsidRPr="00EB42E4">
        <w:rPr>
          <w:rStyle w:val="Refdenotaalpie"/>
          <w:rFonts w:cstheme="minorHAnsi"/>
        </w:rPr>
        <w:footnoteReference w:id="4"/>
      </w:r>
      <w:r w:rsidR="00EB42E4" w:rsidRPr="00EB42E4">
        <w:rPr>
          <w:rFonts w:cstheme="minorHAnsi"/>
        </w:rPr>
        <w:t xml:space="preserve"> </w:t>
      </w:r>
      <w:r w:rsidR="00EB42E4">
        <w:rPr>
          <w:rFonts w:ascii="Arial" w:hAnsi="Arial" w:cs="Arial"/>
        </w:rPr>
        <w:t>(</w:t>
      </w:r>
      <w:r w:rsidR="00985021" w:rsidRPr="00EB42E4">
        <w:rPr>
          <w:rFonts w:cstheme="minorHAnsi"/>
        </w:rPr>
        <w:t>dependiente de la Secretaría Nacional de Niñez, Adolescencia y Familia del Ministerio de Desarrollo Social)</w:t>
      </w:r>
      <w:r w:rsidR="00EB42E4">
        <w:rPr>
          <w:rFonts w:cstheme="minorHAnsi"/>
        </w:rPr>
        <w:t>,</w:t>
      </w:r>
      <w:r w:rsidR="00985021" w:rsidRPr="00EB42E4">
        <w:rPr>
          <w:rFonts w:cstheme="minorHAnsi"/>
        </w:rPr>
        <w:t xml:space="preserve"> junto a otro organismo nacional</w:t>
      </w:r>
      <w:r w:rsidR="00EB42E4">
        <w:rPr>
          <w:rFonts w:cstheme="minorHAnsi"/>
        </w:rPr>
        <w:t xml:space="preserve">, </w:t>
      </w:r>
      <w:r w:rsidR="00985021" w:rsidRPr="00EB42E4">
        <w:rPr>
          <w:rFonts w:cstheme="minorHAnsi"/>
        </w:rPr>
        <w:t>la Defensoría de Derechos de Niños, Niñas y Adolescentes</w:t>
      </w:r>
      <w:r w:rsidR="00EB42E4">
        <w:rPr>
          <w:rFonts w:cstheme="minorHAnsi"/>
        </w:rPr>
        <w:t>,</w:t>
      </w:r>
      <w:r w:rsidR="00985021" w:rsidRPr="00EB42E4">
        <w:rPr>
          <w:rFonts w:cstheme="minorHAnsi"/>
        </w:rPr>
        <w:t xml:space="preserve"> que </w:t>
      </w:r>
      <w:r w:rsidR="00EB42E4" w:rsidRPr="00EB42E4">
        <w:rPr>
          <w:rFonts w:cstheme="minorHAnsi"/>
        </w:rPr>
        <w:t>constituyó la Red Nacional de Adolescentes Promotoras y Promotores de Derechos (</w:t>
      </w:r>
      <w:proofErr w:type="spellStart"/>
      <w:r w:rsidR="00EB42E4" w:rsidRPr="00EB42E4">
        <w:rPr>
          <w:rFonts w:cstheme="minorHAnsi"/>
        </w:rPr>
        <w:t>ReNAPDe</w:t>
      </w:r>
      <w:proofErr w:type="spellEnd"/>
      <w:r w:rsidR="00EB42E4" w:rsidRPr="00EB42E4">
        <w:rPr>
          <w:rFonts w:cstheme="minorHAnsi"/>
        </w:rPr>
        <w:t>)</w:t>
      </w:r>
      <w:r w:rsidR="00EB42E4" w:rsidRPr="00EB42E4">
        <w:rPr>
          <w:rStyle w:val="Refdenotaalpie"/>
          <w:rFonts w:cstheme="minorHAnsi"/>
        </w:rPr>
        <w:footnoteReference w:id="5"/>
      </w:r>
      <w:r w:rsidR="00EB42E4" w:rsidRPr="00EB42E4">
        <w:rPr>
          <w:rFonts w:cstheme="minorHAnsi"/>
        </w:rPr>
        <w:t>.</w:t>
      </w:r>
      <w:r w:rsidR="00EB42E4">
        <w:rPr>
          <w:rFonts w:cstheme="minorHAnsi"/>
        </w:rPr>
        <w:t xml:space="preserve"> Ambas iniciativas se enmarcan en el derecho de los/as niños/as y adolescentes a la participación que establece la Convención Internacional de Derechos del Niño, documento que Argentina ratificó e incorporó a sus legislaciones nacionales y locales. </w:t>
      </w:r>
    </w:p>
    <w:p w:rsidR="00935176" w:rsidRDefault="00381066" w:rsidP="00381066">
      <w:pPr>
        <w:spacing w:line="276" w:lineRule="auto"/>
        <w:jc w:val="both"/>
        <w:rPr>
          <w:rFonts w:cstheme="minorHAnsi"/>
        </w:rPr>
      </w:pPr>
      <w:r w:rsidRPr="00381066">
        <w:rPr>
          <w:rFonts w:cstheme="minorHAnsi"/>
        </w:rPr>
        <w:t>En el marco de la conmemoración de los 40 años de democracia en nuestro país, este panel resulta un “evento etnográfico” (</w:t>
      </w:r>
      <w:proofErr w:type="spellStart"/>
      <w:r w:rsidRPr="00381066">
        <w:rPr>
          <w:rFonts w:cstheme="minorHAnsi"/>
        </w:rPr>
        <w:t>Peirano</w:t>
      </w:r>
      <w:proofErr w:type="spellEnd"/>
      <w:r w:rsidRPr="00381066">
        <w:rPr>
          <w:rFonts w:cstheme="minorHAnsi"/>
        </w:rPr>
        <w:t xml:space="preserve">, 2006), un acontecimiento significativo para aquellos que participan en tanto se celebra y se produce un “nosotros” que anuda a los “jóvenes” y a los “adultos” presentes, entendiendo ambas categorías no </w:t>
      </w:r>
      <w:r w:rsidR="0091560F">
        <w:rPr>
          <w:rFonts w:cstheme="minorHAnsi"/>
        </w:rPr>
        <w:t xml:space="preserve">basadas en </w:t>
      </w:r>
      <w:r w:rsidRPr="00381066">
        <w:rPr>
          <w:rFonts w:cstheme="minorHAnsi"/>
        </w:rPr>
        <w:t xml:space="preserve">datos biológicos, sino como categorías auto y alter </w:t>
      </w:r>
      <w:proofErr w:type="spellStart"/>
      <w:r w:rsidRPr="00381066">
        <w:rPr>
          <w:rFonts w:cstheme="minorHAnsi"/>
        </w:rPr>
        <w:t>adscriptivas</w:t>
      </w:r>
      <w:proofErr w:type="spellEnd"/>
      <w:r w:rsidRPr="00381066">
        <w:rPr>
          <w:rFonts w:cstheme="minorHAnsi"/>
        </w:rPr>
        <w:t>, en el marco de una estructura de interacción que se inscribe, en clave etaria, en la trama social (</w:t>
      </w:r>
      <w:proofErr w:type="spellStart"/>
      <w:r w:rsidRPr="00381066">
        <w:rPr>
          <w:rFonts w:cstheme="minorHAnsi"/>
        </w:rPr>
        <w:t>Kropff</w:t>
      </w:r>
      <w:proofErr w:type="spellEnd"/>
      <w:r w:rsidRPr="00381066">
        <w:rPr>
          <w:rFonts w:cstheme="minorHAnsi"/>
        </w:rPr>
        <w:t xml:space="preserve">, 2009). </w:t>
      </w:r>
      <w:r w:rsidR="0091560F">
        <w:rPr>
          <w:rFonts w:cstheme="minorHAnsi"/>
        </w:rPr>
        <w:t xml:space="preserve">En este trabajo, analizo </w:t>
      </w:r>
      <w:r w:rsidR="0091560F" w:rsidRPr="00381066">
        <w:rPr>
          <w:rFonts w:cstheme="minorHAnsi"/>
        </w:rPr>
        <w:t>cómo se construyen las diferencias generacionales entre los jóvenes y los adultos actuales –que a su vez fueron identificados como jóvenes en la década del 70- en un proceso de elaboración de continuidades y rupturas generacionales. Tales construcciones se realizan en un marco “pedagógico” en el que se busca orientar la formación de los y las jóvenes respecto de cómo participar políticamente en el contexto político local actual</w:t>
      </w:r>
      <w:r w:rsidR="0091560F">
        <w:rPr>
          <w:rFonts w:cstheme="minorHAnsi"/>
        </w:rPr>
        <w:t xml:space="preserve">. </w:t>
      </w:r>
      <w:r w:rsidR="0091560F" w:rsidRPr="00935176">
        <w:rPr>
          <w:rFonts w:cstheme="minorHAnsi"/>
        </w:rPr>
        <w:t xml:space="preserve">Para ello se apela </w:t>
      </w:r>
      <w:r w:rsidR="00935176" w:rsidRPr="00935176">
        <w:rPr>
          <w:rFonts w:cstheme="minorHAnsi"/>
        </w:rPr>
        <w:t xml:space="preserve">a una herramienta recurrente en las operaciones de interpelación </w:t>
      </w:r>
      <w:r w:rsidR="00935176">
        <w:rPr>
          <w:rFonts w:cstheme="minorHAnsi"/>
        </w:rPr>
        <w:t xml:space="preserve">política </w:t>
      </w:r>
      <w:r w:rsidR="00935176" w:rsidRPr="00935176">
        <w:rPr>
          <w:rFonts w:cstheme="minorHAnsi"/>
        </w:rPr>
        <w:t>de los sujetos juveniles (</w:t>
      </w:r>
      <w:proofErr w:type="spellStart"/>
      <w:r w:rsidR="00935176" w:rsidRPr="00935176">
        <w:rPr>
          <w:rFonts w:cstheme="minorHAnsi"/>
        </w:rPr>
        <w:t>Poliszuk</w:t>
      </w:r>
      <w:proofErr w:type="spellEnd"/>
      <w:r w:rsidR="00935176" w:rsidRPr="00935176">
        <w:rPr>
          <w:rFonts w:cstheme="minorHAnsi"/>
        </w:rPr>
        <w:t>, 2013), esto es, e</w:t>
      </w:r>
      <w:r w:rsidR="0091560F" w:rsidRPr="00935176">
        <w:rPr>
          <w:rFonts w:cstheme="minorHAnsi"/>
        </w:rPr>
        <w:t xml:space="preserve">l testimonio y la biografía de una activista política </w:t>
      </w:r>
      <w:r w:rsidR="00935176">
        <w:rPr>
          <w:rFonts w:cstheme="minorHAnsi"/>
        </w:rPr>
        <w:t xml:space="preserve">“ejemplar” que </w:t>
      </w:r>
      <w:r w:rsidR="008572DB">
        <w:rPr>
          <w:rFonts w:cstheme="minorHAnsi"/>
        </w:rPr>
        <w:t xml:space="preserve">fue víctima durante su juventud de una de las modalidades del accionar de la </w:t>
      </w:r>
      <w:r w:rsidR="00935176">
        <w:rPr>
          <w:rFonts w:cstheme="minorHAnsi"/>
        </w:rPr>
        <w:t>última dictadura</w:t>
      </w:r>
      <w:r w:rsidR="008572DB">
        <w:rPr>
          <w:rFonts w:cstheme="minorHAnsi"/>
        </w:rPr>
        <w:t xml:space="preserve"> </w:t>
      </w:r>
      <w:r w:rsidR="00935176">
        <w:rPr>
          <w:rFonts w:cstheme="minorHAnsi"/>
        </w:rPr>
        <w:t>cívico</w:t>
      </w:r>
      <w:r w:rsidR="008572DB">
        <w:rPr>
          <w:rFonts w:cstheme="minorHAnsi"/>
        </w:rPr>
        <w:t>-</w:t>
      </w:r>
      <w:r w:rsidR="00935176">
        <w:rPr>
          <w:rFonts w:cstheme="minorHAnsi"/>
        </w:rPr>
        <w:t xml:space="preserve"> militar: la perse</w:t>
      </w:r>
      <w:r w:rsidR="008572DB">
        <w:rPr>
          <w:rFonts w:cstheme="minorHAnsi"/>
        </w:rPr>
        <w:t>cución y detención clandestina.</w:t>
      </w:r>
    </w:p>
    <w:p w:rsidR="0035497E" w:rsidRPr="0035497E" w:rsidRDefault="003C4E54" w:rsidP="0035497E">
      <w:pPr>
        <w:autoSpaceDE w:val="0"/>
        <w:autoSpaceDN w:val="0"/>
        <w:adjustRightInd w:val="0"/>
        <w:spacing w:after="0" w:line="276" w:lineRule="auto"/>
        <w:jc w:val="both"/>
        <w:rPr>
          <w:rFonts w:cstheme="minorHAnsi"/>
        </w:rPr>
      </w:pPr>
      <w:r w:rsidRPr="0035497E">
        <w:rPr>
          <w:rFonts w:cstheme="minorHAnsi"/>
        </w:rPr>
        <w:t xml:space="preserve">Para comprender el desarrollo de tal pedagogía política en el marco de la implementación de una política sigo a </w:t>
      </w:r>
      <w:proofErr w:type="spellStart"/>
      <w:r w:rsidRPr="0035497E">
        <w:rPr>
          <w:rFonts w:cstheme="minorHAnsi"/>
        </w:rPr>
        <w:t>Antonadia</w:t>
      </w:r>
      <w:proofErr w:type="spellEnd"/>
      <w:r w:rsidRPr="0035497E">
        <w:rPr>
          <w:rFonts w:cstheme="minorHAnsi"/>
        </w:rPr>
        <w:t xml:space="preserve"> Borges </w:t>
      </w:r>
      <w:r w:rsidR="00396E8F" w:rsidRPr="0035497E">
        <w:rPr>
          <w:rFonts w:cstheme="minorHAnsi"/>
        </w:rPr>
        <w:t xml:space="preserve">(2006) </w:t>
      </w:r>
      <w:r w:rsidRPr="0035497E">
        <w:rPr>
          <w:rFonts w:cstheme="minorHAnsi"/>
        </w:rPr>
        <w:t xml:space="preserve">cuando plantea considerar </w:t>
      </w:r>
      <w:r w:rsidR="008572DB">
        <w:rPr>
          <w:rFonts w:cstheme="minorHAnsi"/>
        </w:rPr>
        <w:t xml:space="preserve">a los gobiernos como </w:t>
      </w:r>
      <w:r w:rsidRPr="0035497E">
        <w:rPr>
          <w:rFonts w:cstheme="minorHAnsi"/>
        </w:rPr>
        <w:t xml:space="preserve">al Estado </w:t>
      </w:r>
      <w:r w:rsidR="008572DB">
        <w:rPr>
          <w:rFonts w:cstheme="minorHAnsi"/>
        </w:rPr>
        <w:t xml:space="preserve">en funcionamiento. En otras palabras, </w:t>
      </w:r>
      <w:r w:rsidRPr="0035497E">
        <w:rPr>
          <w:rFonts w:cstheme="minorHAnsi"/>
        </w:rPr>
        <w:t>el cumplimiento de una</w:t>
      </w:r>
      <w:r w:rsidR="00396E8F" w:rsidRPr="0035497E">
        <w:rPr>
          <w:rFonts w:cstheme="minorHAnsi"/>
        </w:rPr>
        <w:t xml:space="preserve"> tarea </w:t>
      </w:r>
      <w:r w:rsidRPr="0035497E">
        <w:rPr>
          <w:rFonts w:cstheme="minorHAnsi"/>
        </w:rPr>
        <w:t xml:space="preserve">–en apariencia exclusivamente burocrática- no sucede sin una acción politizada. </w:t>
      </w:r>
      <w:r w:rsidR="00396E8F" w:rsidRPr="0035497E">
        <w:rPr>
          <w:rFonts w:cstheme="minorHAnsi"/>
        </w:rPr>
        <w:t>Esta conceptualización permite tomar distancia d</w:t>
      </w:r>
      <w:r w:rsidRPr="0035497E">
        <w:rPr>
          <w:rFonts w:cstheme="minorHAnsi"/>
        </w:rPr>
        <w:t xml:space="preserve">e los abordajes que parten de una estabilidad del concepto de Estado como un orden </w:t>
      </w:r>
      <w:proofErr w:type="spellStart"/>
      <w:r w:rsidRPr="0035497E">
        <w:rPr>
          <w:rFonts w:cstheme="minorHAnsi"/>
        </w:rPr>
        <w:t>suprasocial</w:t>
      </w:r>
      <w:proofErr w:type="spellEnd"/>
      <w:r w:rsidRPr="0035497E">
        <w:rPr>
          <w:rFonts w:cstheme="minorHAnsi"/>
        </w:rPr>
        <w:t xml:space="preserve">, para comprender el “Estado vivo”, en el que el cumplimiento de sus tareas sucede a partir de acciones politizadas y partidistas. En ese sentido, </w:t>
      </w:r>
      <w:r w:rsidR="00396E8F" w:rsidRPr="0035497E">
        <w:rPr>
          <w:rFonts w:cstheme="minorHAnsi"/>
        </w:rPr>
        <w:t xml:space="preserve">parto del supuesto de </w:t>
      </w:r>
      <w:r w:rsidRPr="0035497E">
        <w:rPr>
          <w:rFonts w:cstheme="minorHAnsi"/>
        </w:rPr>
        <w:t>que las acciones gubernamentales se producen en el entrecruzamiento de amplios espacios de lu</w:t>
      </w:r>
      <w:r w:rsidR="000D4FAB">
        <w:rPr>
          <w:rFonts w:cstheme="minorHAnsi"/>
        </w:rPr>
        <w:t xml:space="preserve">cha (Souza Lima &amp; Castro, 2015), y me baso en </w:t>
      </w:r>
      <w:r w:rsidR="00396E8F" w:rsidRPr="0035497E">
        <w:rPr>
          <w:rFonts w:cstheme="minorHAnsi"/>
        </w:rPr>
        <w:t xml:space="preserve">perspectivas </w:t>
      </w:r>
      <w:r w:rsidR="000D4FAB">
        <w:rPr>
          <w:rFonts w:cstheme="minorHAnsi"/>
        </w:rPr>
        <w:t xml:space="preserve">que </w:t>
      </w:r>
      <w:r w:rsidR="00396E8F" w:rsidRPr="0035497E">
        <w:rPr>
          <w:rFonts w:cstheme="minorHAnsi"/>
        </w:rPr>
        <w:t>se ap</w:t>
      </w:r>
      <w:r w:rsidR="0035497E" w:rsidRPr="0035497E">
        <w:rPr>
          <w:rFonts w:cstheme="minorHAnsi"/>
        </w:rPr>
        <w:t xml:space="preserve">artan de modelos analíticos centrados en la relación de intercambio entre dos partes interesadas, basadas en elecciones racionales y motivaciones utilitarias, </w:t>
      </w:r>
      <w:r w:rsidR="000D4FAB">
        <w:rPr>
          <w:rFonts w:cstheme="minorHAnsi"/>
        </w:rPr>
        <w:t xml:space="preserve">y que </w:t>
      </w:r>
      <w:r w:rsidR="0035497E" w:rsidRPr="0035497E">
        <w:rPr>
          <w:rFonts w:cstheme="minorHAnsi"/>
        </w:rPr>
        <w:t xml:space="preserve">cuestionan la afirmación del interés como principal motivación para la acción política y las visiones instrumentalistas de las prácticas políticas. En lugar de ello, colocan el foco en los sentimientos sociales y el mundo de las relaciones personales con el tejido institucional (Lazar, 2023; Quirós, 2008; </w:t>
      </w:r>
      <w:proofErr w:type="spellStart"/>
      <w:r w:rsidR="0035497E" w:rsidRPr="0035497E">
        <w:rPr>
          <w:rFonts w:cstheme="minorHAnsi"/>
        </w:rPr>
        <w:lastRenderedPageBreak/>
        <w:t>Gaztañaga</w:t>
      </w:r>
      <w:proofErr w:type="spellEnd"/>
      <w:r w:rsidR="0035497E" w:rsidRPr="0035497E">
        <w:rPr>
          <w:rFonts w:cstheme="minorHAnsi"/>
        </w:rPr>
        <w:t xml:space="preserve"> et al., 2016; Borges, 2006) y la afectividad en la construcción de sentidos colectivos de las subjetividades (Lazar, 2019; Manzano, 2020).</w:t>
      </w:r>
      <w:r w:rsidR="00676E09">
        <w:rPr>
          <w:rFonts w:cstheme="minorHAnsi"/>
        </w:rPr>
        <w:t xml:space="preserve"> </w:t>
      </w:r>
    </w:p>
    <w:p w:rsidR="0035497E" w:rsidRDefault="0035497E" w:rsidP="00676E09">
      <w:pPr>
        <w:spacing w:line="276" w:lineRule="auto"/>
        <w:jc w:val="both"/>
        <w:rPr>
          <w:rFonts w:cstheme="minorHAnsi"/>
        </w:rPr>
      </w:pPr>
      <w:r>
        <w:rPr>
          <w:rFonts w:cstheme="minorHAnsi"/>
        </w:rPr>
        <w:t>Así, la ponencia busca analizar las operaciones que se ponen en ma</w:t>
      </w:r>
      <w:r w:rsidR="008D436B">
        <w:rPr>
          <w:rFonts w:cstheme="minorHAnsi"/>
        </w:rPr>
        <w:t>rcha en tal evento etnográfico –que como todo ritual en él se revelan visiones del mundo dominantes de los grupos (</w:t>
      </w:r>
      <w:proofErr w:type="spellStart"/>
      <w:r w:rsidR="008D436B">
        <w:rPr>
          <w:rFonts w:cstheme="minorHAnsi"/>
        </w:rPr>
        <w:t>Peirano</w:t>
      </w:r>
      <w:proofErr w:type="spellEnd"/>
      <w:r w:rsidR="008D436B">
        <w:rPr>
          <w:rFonts w:cstheme="minorHAnsi"/>
        </w:rPr>
        <w:t>, 2006</w:t>
      </w:r>
      <w:r w:rsidR="008D436B" w:rsidRPr="0035497E">
        <w:rPr>
          <w:rFonts w:cstheme="minorHAnsi"/>
        </w:rPr>
        <w:t>)</w:t>
      </w:r>
      <w:r w:rsidR="008D436B">
        <w:rPr>
          <w:rFonts w:cstheme="minorHAnsi"/>
        </w:rPr>
        <w:t>- como un acto de pedagogía política en el que se r</w:t>
      </w:r>
      <w:r w:rsidR="00676E09">
        <w:rPr>
          <w:rFonts w:cstheme="minorHAnsi"/>
        </w:rPr>
        <w:t xml:space="preserve">eafirma una identidad colectiva, un “nosotros”, </w:t>
      </w:r>
      <w:r w:rsidR="008D436B">
        <w:rPr>
          <w:rFonts w:cstheme="minorHAnsi"/>
        </w:rPr>
        <w:t>y se refuerzan sentidos de pertenencia</w:t>
      </w:r>
      <w:r w:rsidR="00676E09">
        <w:rPr>
          <w:rFonts w:cstheme="minorHAnsi"/>
        </w:rPr>
        <w:t xml:space="preserve">, recuperando un tópico central de la antropología política, las relaciones entre parentesco y política. </w:t>
      </w:r>
    </w:p>
    <w:p w:rsidR="00381066" w:rsidRPr="00381066" w:rsidRDefault="00381066" w:rsidP="00381066">
      <w:pPr>
        <w:spacing w:line="276" w:lineRule="auto"/>
        <w:jc w:val="both"/>
        <w:rPr>
          <w:rFonts w:cstheme="minorHAnsi"/>
        </w:rPr>
      </w:pPr>
      <w:r w:rsidRPr="00381066">
        <w:rPr>
          <w:rFonts w:cstheme="minorHAnsi"/>
        </w:rPr>
        <w:t xml:space="preserve">Siguiendo la renovación que se dio en el campo de los estudios del parentesco (Fonseca, 2003), este ya no se limita a nociones de descendencia y consanguinidad ni a un dominio separado de la vida social, sino que permite analizar la conformación de pertenencias comunes, de </w:t>
      </w:r>
      <w:proofErr w:type="spellStart"/>
      <w:r w:rsidRPr="00381066">
        <w:rPr>
          <w:rFonts w:cstheme="minorHAnsi"/>
        </w:rPr>
        <w:t>relacionalidades</w:t>
      </w:r>
      <w:proofErr w:type="spellEnd"/>
      <w:r w:rsidRPr="00381066">
        <w:rPr>
          <w:rFonts w:cstheme="minorHAnsi"/>
        </w:rPr>
        <w:t xml:space="preserve"> que posibilitan pensar el parentesco en términos procesuales y en criterios no experimentados como biológicos (</w:t>
      </w:r>
      <w:proofErr w:type="spellStart"/>
      <w:r w:rsidRPr="00381066">
        <w:rPr>
          <w:rFonts w:cstheme="minorHAnsi"/>
        </w:rPr>
        <w:t>Carsten</w:t>
      </w:r>
      <w:proofErr w:type="spellEnd"/>
      <w:r w:rsidRPr="00381066">
        <w:rPr>
          <w:rFonts w:cstheme="minorHAnsi"/>
        </w:rPr>
        <w:t xml:space="preserve">, 2000). Las formas cotidianas de </w:t>
      </w:r>
      <w:proofErr w:type="spellStart"/>
      <w:r w:rsidRPr="00381066">
        <w:rPr>
          <w:rFonts w:cstheme="minorHAnsi"/>
        </w:rPr>
        <w:t>relacionalidad</w:t>
      </w:r>
      <w:proofErr w:type="spellEnd"/>
      <w:r w:rsidRPr="00381066">
        <w:rPr>
          <w:rFonts w:cstheme="minorHAnsi"/>
        </w:rPr>
        <w:t>, las memorias del pasado y los contextos políticos más amplios interconectan al producir entramados de historias, biografías, temporalidades y conexiones de parentesco (Briones y Ramos, 2016). En ese sentido, el lenguaje analítico provisto por la antropología del parentesco posibilita comprender diversos agrupamientos sociales y, en este evento etnográfico en particular, la construcción de sentidos de pertenencia a un grupo, la transmisión de legados y herencias entre las generaciones. Sosten</w:t>
      </w:r>
      <w:r w:rsidR="000D4FAB">
        <w:rPr>
          <w:rFonts w:cstheme="minorHAnsi"/>
        </w:rPr>
        <w:t>go</w:t>
      </w:r>
      <w:r w:rsidRPr="00381066">
        <w:rPr>
          <w:rFonts w:cstheme="minorHAnsi"/>
        </w:rPr>
        <w:t xml:space="preserve"> que en tal proceso se busca construir un “nosotros” que puede ser comprendido a través del marco conceptual provisto por el parentesco, esto es, como un “linaje político” que supone una identidad común y un sentido de pertenencia, que reúne a jóvenes y adultos, y se opone a otras fuerzas políticas asociadas a orientaciones de “derecha”, tal como los actores sociales que participan en este evento etnográfico</w:t>
      </w:r>
      <w:r w:rsidR="000D4FAB">
        <w:rPr>
          <w:rFonts w:cstheme="minorHAnsi"/>
        </w:rPr>
        <w:t xml:space="preserve"> identifican y construyen una alteridad política.</w:t>
      </w:r>
      <w:r w:rsidRPr="00381066">
        <w:rPr>
          <w:rFonts w:cstheme="minorHAnsi"/>
        </w:rPr>
        <w:t xml:space="preserve"> </w:t>
      </w:r>
    </w:p>
    <w:p w:rsidR="00381066" w:rsidRPr="00381066" w:rsidRDefault="00381066" w:rsidP="00381066">
      <w:pPr>
        <w:spacing w:line="276" w:lineRule="auto"/>
        <w:jc w:val="both"/>
        <w:rPr>
          <w:rFonts w:cstheme="minorHAnsi"/>
        </w:rPr>
      </w:pPr>
      <w:r w:rsidRPr="00381066">
        <w:rPr>
          <w:rFonts w:cstheme="minorHAnsi"/>
        </w:rPr>
        <w:t>El análisis de este evento etnográfico se enmarca en una investigación mayor que busca comprender las lógicas que organizan las políticas públicas destinadas a promover la participación política y social de jóvenes en el área metropolitana de Buenos Aires. Este trabajo, en particular, se basa en los registros de campo tomados durante esa jornada en que se llevó a cabo el panel en el III Foro de Derechos Humanos en la Ex</w:t>
      </w:r>
      <w:r w:rsidR="000D4FAB">
        <w:rPr>
          <w:rFonts w:cstheme="minorHAnsi"/>
        </w:rPr>
        <w:t xml:space="preserve"> </w:t>
      </w:r>
      <w:r w:rsidRPr="00381066">
        <w:rPr>
          <w:rFonts w:cstheme="minorHAnsi"/>
        </w:rPr>
        <w:t xml:space="preserve">ESMA. Pero también dialoga con el trabajo de campo producido durante otras jornadas de observación participante y las entrevistas abiertas que mantuve con agentes estatales de programas gubernamentales </w:t>
      </w:r>
      <w:r w:rsidR="007826F1">
        <w:rPr>
          <w:rFonts w:cstheme="minorHAnsi"/>
        </w:rPr>
        <w:t>que promocionan la participación política juvenil</w:t>
      </w:r>
      <w:r w:rsidRPr="00381066">
        <w:rPr>
          <w:rFonts w:cstheme="minorHAnsi"/>
        </w:rPr>
        <w:t xml:space="preserve">, durante </w:t>
      </w:r>
      <w:r w:rsidR="000D4FAB">
        <w:rPr>
          <w:rFonts w:cstheme="minorHAnsi"/>
        </w:rPr>
        <w:t>los años 2022 y 2023</w:t>
      </w:r>
      <w:r w:rsidRPr="00381066">
        <w:rPr>
          <w:rFonts w:cstheme="minorHAnsi"/>
        </w:rPr>
        <w:t>. En particular, los actos de habla citados en este trabajo se trata de un reconstrucción realizada a partir de las notas que se tom</w:t>
      </w:r>
      <w:r w:rsidR="000D4FAB">
        <w:rPr>
          <w:rFonts w:cstheme="minorHAnsi"/>
        </w:rPr>
        <w:t>é</w:t>
      </w:r>
      <w:r w:rsidRPr="00381066">
        <w:rPr>
          <w:rFonts w:cstheme="minorHAnsi"/>
        </w:rPr>
        <w:t xml:space="preserve"> en el momento y los registros de campo realizados al final de la jornada de trabajo de campo, que intentan capturar el sentido de lo sostenido por los actores sociales presentes en este evento etnográfico. </w:t>
      </w:r>
    </w:p>
    <w:p w:rsidR="00381066" w:rsidRPr="00381066" w:rsidRDefault="00381066" w:rsidP="00381066">
      <w:pPr>
        <w:tabs>
          <w:tab w:val="left" w:pos="3568"/>
        </w:tabs>
        <w:spacing w:line="276" w:lineRule="auto"/>
        <w:jc w:val="both"/>
        <w:rPr>
          <w:rFonts w:cstheme="minorHAnsi"/>
        </w:rPr>
      </w:pPr>
      <w:r w:rsidRPr="00381066">
        <w:rPr>
          <w:rFonts w:cstheme="minorHAnsi"/>
        </w:rPr>
        <w:tab/>
      </w:r>
    </w:p>
    <w:p w:rsidR="00381066" w:rsidRPr="00381066" w:rsidRDefault="00381066" w:rsidP="00381066">
      <w:pPr>
        <w:spacing w:line="276" w:lineRule="auto"/>
        <w:jc w:val="both"/>
        <w:rPr>
          <w:rFonts w:cstheme="minorHAnsi"/>
          <w:b/>
        </w:rPr>
      </w:pPr>
      <w:r w:rsidRPr="00381066">
        <w:rPr>
          <w:rFonts w:cstheme="minorHAnsi"/>
          <w:b/>
        </w:rPr>
        <w:t xml:space="preserve">La </w:t>
      </w:r>
      <w:r w:rsidR="00676E09">
        <w:rPr>
          <w:rFonts w:ascii="Arial" w:hAnsi="Arial" w:cs="Arial"/>
          <w:b/>
        </w:rPr>
        <w:t>(</w:t>
      </w:r>
      <w:r w:rsidR="00676E09">
        <w:rPr>
          <w:rFonts w:cstheme="minorHAnsi"/>
          <w:b/>
        </w:rPr>
        <w:t>re</w:t>
      </w:r>
      <w:r w:rsidR="00676E09">
        <w:rPr>
          <w:rFonts w:ascii="Arial" w:hAnsi="Arial" w:cs="Arial"/>
          <w:b/>
        </w:rPr>
        <w:t>)</w:t>
      </w:r>
      <w:r w:rsidR="00676E09">
        <w:rPr>
          <w:rFonts w:cstheme="minorHAnsi"/>
          <w:b/>
        </w:rPr>
        <w:t xml:space="preserve">creación de </w:t>
      </w:r>
      <w:r w:rsidRPr="00381066">
        <w:rPr>
          <w:rFonts w:cstheme="minorHAnsi"/>
          <w:b/>
        </w:rPr>
        <w:t xml:space="preserve">un linaje político: </w:t>
      </w:r>
      <w:r w:rsidR="00676E09">
        <w:rPr>
          <w:rFonts w:cstheme="minorHAnsi"/>
          <w:b/>
        </w:rPr>
        <w:t xml:space="preserve">estableciendo lazos y construyendo </w:t>
      </w:r>
      <w:r w:rsidRPr="00381066">
        <w:rPr>
          <w:rFonts w:cstheme="minorHAnsi"/>
          <w:b/>
        </w:rPr>
        <w:t xml:space="preserve">sentidos de pertenencia </w:t>
      </w:r>
    </w:p>
    <w:p w:rsidR="00381066" w:rsidRPr="00381066" w:rsidRDefault="00381066" w:rsidP="00381066">
      <w:pPr>
        <w:spacing w:line="276" w:lineRule="auto"/>
        <w:jc w:val="both"/>
        <w:rPr>
          <w:rFonts w:cstheme="minorHAnsi"/>
        </w:rPr>
      </w:pPr>
      <w:r w:rsidRPr="00381066">
        <w:rPr>
          <w:rFonts w:cstheme="minorHAnsi"/>
        </w:rPr>
        <w:t xml:space="preserve">El escenario se encuentra poblado por jóvenes de diferentes localidades del país, están allí ya que forman parte de </w:t>
      </w:r>
      <w:r w:rsidR="00AB48CC">
        <w:rPr>
          <w:rFonts w:cstheme="minorHAnsi"/>
        </w:rPr>
        <w:t xml:space="preserve">las </w:t>
      </w:r>
      <w:r w:rsidRPr="00381066">
        <w:rPr>
          <w:rFonts w:cstheme="minorHAnsi"/>
        </w:rPr>
        <w:t>dos políticas públicas que promueven la participación política y social de ese sector de la población: el Consejo Consultivo de Adolescentes (CCAS) y la Red Nacional de Adolescentes Promotoras y Promotores de Derechos (</w:t>
      </w:r>
      <w:proofErr w:type="spellStart"/>
      <w:r w:rsidRPr="00381066">
        <w:rPr>
          <w:rFonts w:cstheme="minorHAnsi"/>
        </w:rPr>
        <w:t>ReNAPDe</w:t>
      </w:r>
      <w:proofErr w:type="spellEnd"/>
      <w:r w:rsidRPr="00381066">
        <w:rPr>
          <w:rFonts w:cstheme="minorHAnsi"/>
        </w:rPr>
        <w:t>)</w:t>
      </w:r>
      <w:r w:rsidR="00AB48CC">
        <w:rPr>
          <w:rFonts w:cstheme="minorHAnsi"/>
        </w:rPr>
        <w:t xml:space="preserve">, algunos de ellos portan remeras con el logo del programa que remarcan la pertenencia a determinado programa. </w:t>
      </w:r>
      <w:r w:rsidRPr="00381066">
        <w:rPr>
          <w:rFonts w:cstheme="minorHAnsi"/>
        </w:rPr>
        <w:t xml:space="preserve">También se ubicaron allí la invitada, la activista política ex detenida-desaparecida, y una funcionaria de la SENAF, quien oficia de moderadora del intercambio. El público –según lo observado- está conformado por más integrantes </w:t>
      </w:r>
      <w:r w:rsidRPr="00381066">
        <w:rPr>
          <w:rFonts w:cstheme="minorHAnsi"/>
        </w:rPr>
        <w:lastRenderedPageBreak/>
        <w:t xml:space="preserve">de esas políticas, así como jóvenes y adultos que participan en otros programas orientados a promover la participación juvenil social y política de distritos del área metropolitana de Buenos Aires. </w:t>
      </w:r>
    </w:p>
    <w:p w:rsidR="00381066" w:rsidRPr="00381066" w:rsidRDefault="00381066" w:rsidP="00381066">
      <w:pPr>
        <w:spacing w:line="276" w:lineRule="auto"/>
        <w:jc w:val="both"/>
        <w:rPr>
          <w:rFonts w:cstheme="minorHAnsi"/>
        </w:rPr>
      </w:pPr>
      <w:r w:rsidRPr="00381066">
        <w:rPr>
          <w:rFonts w:cstheme="minorHAnsi"/>
        </w:rPr>
        <w:t>La invitada –caso paradigmático de joven militante durante los años setenta- responde las preguntas y comentarios que los y las jóvenes formulan, a veces interrumpida por grupos juveniles que llegan con cierto retraso o por la partida de algunos de ellos a sus localidades de origen. Sus intervenciones –desde su grado de edad actual- buscan ofrecer sus experiencias, su trayectoria de militancia a las generaciones representadas por los y las jóvenes presentes a fin de contribuir a su formación política. En ese sentido, que haya sido invitada esa activista y no otra, también supone la consagración de una forma legítima de juventud y participación política que busca ser promovida entre los y las jóvenes presentes, así lo planteará una de las jóvenes presente: “</w:t>
      </w:r>
      <w:proofErr w:type="spellStart"/>
      <w:r w:rsidRPr="00381066">
        <w:rPr>
          <w:rFonts w:cstheme="minorHAnsi"/>
        </w:rPr>
        <w:t>sos</w:t>
      </w:r>
      <w:proofErr w:type="spellEnd"/>
      <w:r w:rsidRPr="00381066">
        <w:rPr>
          <w:rFonts w:cstheme="minorHAnsi"/>
        </w:rPr>
        <w:t xml:space="preserve"> un ejemplo de lucha".</w:t>
      </w:r>
      <w:r w:rsidRPr="00381066">
        <w:rPr>
          <w:rStyle w:val="Refdenotaalpie"/>
          <w:rFonts w:cstheme="minorHAnsi"/>
        </w:rPr>
        <w:footnoteReference w:id="6"/>
      </w:r>
      <w:r w:rsidRPr="00381066">
        <w:rPr>
          <w:rFonts w:cstheme="minorHAnsi"/>
        </w:rPr>
        <w:t xml:space="preserve"> En efecto, durante los gobiernos </w:t>
      </w:r>
      <w:proofErr w:type="spellStart"/>
      <w:r w:rsidRPr="00381066">
        <w:rPr>
          <w:rFonts w:cstheme="minorHAnsi"/>
        </w:rPr>
        <w:t>kirchneristas</w:t>
      </w:r>
      <w:proofErr w:type="spellEnd"/>
      <w:r w:rsidRPr="00381066">
        <w:rPr>
          <w:rFonts w:cstheme="minorHAnsi"/>
        </w:rPr>
        <w:t xml:space="preserve"> (2003-2015) se oficializó una narrativa del pasado reciente que reconoce las luchas de la izquierda de los años setenta y la defensa de los derechos humanos (</w:t>
      </w:r>
      <w:proofErr w:type="spellStart"/>
      <w:r w:rsidRPr="00381066">
        <w:rPr>
          <w:rFonts w:cstheme="minorHAnsi"/>
        </w:rPr>
        <w:t>Poliszuk</w:t>
      </w:r>
      <w:proofErr w:type="spellEnd"/>
      <w:r w:rsidRPr="00381066">
        <w:rPr>
          <w:rFonts w:cstheme="minorHAnsi"/>
        </w:rPr>
        <w:t xml:space="preserve">, 2013; </w:t>
      </w:r>
      <w:proofErr w:type="spellStart"/>
      <w:r w:rsidRPr="00381066">
        <w:rPr>
          <w:rFonts w:cstheme="minorHAnsi"/>
        </w:rPr>
        <w:t>Krieger</w:t>
      </w:r>
      <w:proofErr w:type="spellEnd"/>
      <w:r w:rsidRPr="00381066">
        <w:rPr>
          <w:rFonts w:cstheme="minorHAnsi"/>
        </w:rPr>
        <w:t>, 2017; Lazar, 2019).</w:t>
      </w:r>
      <w:r w:rsidRPr="00381066">
        <w:rPr>
          <w:rStyle w:val="Refdenotaalpie"/>
          <w:rFonts w:cstheme="minorHAnsi"/>
        </w:rPr>
        <w:footnoteReference w:id="7"/>
      </w:r>
      <w:r w:rsidRPr="00381066">
        <w:rPr>
          <w:rFonts w:cstheme="minorHAnsi"/>
        </w:rPr>
        <w:t xml:space="preserve"> </w:t>
      </w:r>
    </w:p>
    <w:p w:rsidR="00381066" w:rsidRPr="00381066" w:rsidRDefault="00381066" w:rsidP="00381066">
      <w:pPr>
        <w:spacing w:line="276" w:lineRule="auto"/>
        <w:jc w:val="both"/>
        <w:rPr>
          <w:rFonts w:cstheme="minorHAnsi"/>
        </w:rPr>
      </w:pPr>
      <w:r w:rsidRPr="00381066">
        <w:rPr>
          <w:rFonts w:cstheme="minorHAnsi"/>
        </w:rPr>
        <w:t xml:space="preserve">Sumado a ello, como analiza Lazar (2019), el peronismo –movimiento político en el que se encuadran los activistas </w:t>
      </w:r>
      <w:proofErr w:type="spellStart"/>
      <w:r w:rsidRPr="00381066">
        <w:rPr>
          <w:rFonts w:cstheme="minorHAnsi"/>
        </w:rPr>
        <w:t>kichneristas</w:t>
      </w:r>
      <w:proofErr w:type="spellEnd"/>
      <w:r w:rsidRPr="00381066">
        <w:rPr>
          <w:rFonts w:cstheme="minorHAnsi"/>
        </w:rPr>
        <w:t>- es mucho más que una orientación política, muchos de sus adeptos lo reconocen como una identidad y un modo de vida, y se incorpora a través de formas físicas o experienciales, como las narraciones de historias espirituales y afectivas de lealtad hacia figuras ejemplares.</w:t>
      </w:r>
      <w:r w:rsidRPr="00381066">
        <w:rPr>
          <w:rStyle w:val="Refdenotaalpie"/>
          <w:rFonts w:cstheme="minorHAnsi"/>
        </w:rPr>
        <w:footnoteReference w:id="8"/>
      </w:r>
      <w:r w:rsidRPr="00381066">
        <w:rPr>
          <w:rFonts w:cstheme="minorHAnsi"/>
        </w:rPr>
        <w:t xml:space="preserve"> En ese sentido, los relatos o narraciones de las experiencias de vida de la activista invitada puede ser considerado como un mecanismo de transmisión de una identidad política. A su vez, como plantean Ana Ramos y Claudia Briones (2016), la memoria también es una práctica política que permite reflexionar sobre el pasado para establecer hilos conductores entre experiencias pasadas y presentes que iluminan el devenir de ser juntos. En esa dirección, en este evento etnográfico, se asiste a la consagración de ciertos principios y saberes de lo que supone participar políticamente, y los “compañeros detenidos-desaparecidos” de ayer son recuperados hoy con un tono celebratorio, en tanto faros que iluminan o inspiran proyectos políticos a desarrollar en un futuro. Así lo planteaba la activista ex detenida:</w:t>
      </w:r>
    </w:p>
    <w:p w:rsidR="00381066" w:rsidRPr="00381066" w:rsidRDefault="00381066" w:rsidP="0067527A">
      <w:pPr>
        <w:spacing w:line="276" w:lineRule="auto"/>
        <w:ind w:left="709"/>
        <w:jc w:val="both"/>
        <w:rPr>
          <w:rFonts w:cstheme="minorHAnsi"/>
        </w:rPr>
      </w:pPr>
      <w:r w:rsidRPr="00381066">
        <w:rPr>
          <w:rFonts w:cstheme="minorHAnsi"/>
        </w:rPr>
        <w:t xml:space="preserve">la figura de compañeros detenidos- desaparecidos, hoy los jóvenes lo ven no sólo con un manto de tristeza o dolor, sino con sus posibilidades de sueño, de construcción de una nueva posibilidad, de una nueva patria, y de ahí se agarran. […] Yo no me imaginé nunca cuando fui ese día a una marcha, de las tantas que tenía por el boleto estudiantil–capaz que si me dolía la cabeza ni iba- lo que iba a significar que 47 años después estemos juntos acá, hablando de eso, </w:t>
      </w:r>
      <w:r w:rsidRPr="00381066">
        <w:rPr>
          <w:rFonts w:cstheme="minorHAnsi"/>
        </w:rPr>
        <w:lastRenderedPageBreak/>
        <w:t xml:space="preserve">y ustedes reivindicando esos compañeros. Uno no hace pensando la historia. Uno hace. La historia después te dice qué hiciste. [El público aplaude y </w:t>
      </w:r>
      <w:r w:rsidR="00C45F1E">
        <w:rPr>
          <w:rFonts w:cstheme="minorHAnsi"/>
        </w:rPr>
        <w:t>se escuchan</w:t>
      </w:r>
      <w:r w:rsidRPr="00381066">
        <w:rPr>
          <w:rFonts w:cstheme="minorHAnsi"/>
        </w:rPr>
        <w:t xml:space="preserve"> silbidos de ovación]” (Registro de campo, 21/03/2023, Ex ESMA, activista política)</w:t>
      </w:r>
    </w:p>
    <w:p w:rsidR="00381066" w:rsidRPr="00381066" w:rsidRDefault="00381066" w:rsidP="00381066">
      <w:pPr>
        <w:spacing w:line="276" w:lineRule="auto"/>
        <w:jc w:val="both"/>
        <w:rPr>
          <w:rFonts w:cstheme="minorHAnsi"/>
        </w:rPr>
      </w:pPr>
    </w:p>
    <w:p w:rsidR="00381066" w:rsidRPr="00381066" w:rsidRDefault="00381066" w:rsidP="00AD1DDE">
      <w:pPr>
        <w:spacing w:line="276" w:lineRule="auto"/>
        <w:jc w:val="both"/>
        <w:rPr>
          <w:rFonts w:cstheme="minorHAnsi"/>
        </w:rPr>
      </w:pPr>
      <w:r w:rsidRPr="00381066">
        <w:rPr>
          <w:rFonts w:cstheme="minorHAnsi"/>
        </w:rPr>
        <w:t>El uso de testimonios y biografías de políticos es un género discursivo que evoca la ilusión de una vida política como referencia (</w:t>
      </w:r>
      <w:proofErr w:type="spellStart"/>
      <w:r w:rsidRPr="00381066">
        <w:rPr>
          <w:rFonts w:cstheme="minorHAnsi"/>
        </w:rPr>
        <w:t>Poliszuk</w:t>
      </w:r>
      <w:proofErr w:type="spellEnd"/>
      <w:r w:rsidRPr="00381066">
        <w:rPr>
          <w:rFonts w:cstheme="minorHAnsi"/>
        </w:rPr>
        <w:t>, 2013</w:t>
      </w:r>
      <w:r w:rsidR="00C45F1E">
        <w:rPr>
          <w:rFonts w:cstheme="minorHAnsi"/>
        </w:rPr>
        <w:t>)</w:t>
      </w:r>
      <w:r w:rsidRPr="00381066">
        <w:rPr>
          <w:rFonts w:cstheme="minorHAnsi"/>
        </w:rPr>
        <w:t xml:space="preserve">. A través de estas herramientas se dan procesos de construcción de identidades sociales y políticas que establecen una codificación de diferencias y formas de marcar la exclusión del otro, así como continuidades y rupturas de un mismo grupo político.  En este evento etnográfico, una de las maneras en que se marcaron las continuidades y las transformaciones entre los presentes fue a través de la categoría de generación. </w:t>
      </w:r>
      <w:r w:rsidR="00AD1DDE" w:rsidRPr="00AD1DDE">
        <w:rPr>
          <w:rFonts w:cstheme="minorHAnsi"/>
        </w:rPr>
        <w:t xml:space="preserve">Esta categoría -como ya señaló </w:t>
      </w:r>
      <w:proofErr w:type="spellStart"/>
      <w:r w:rsidR="00AD1DDE" w:rsidRPr="00AD1DDE">
        <w:rPr>
          <w:rFonts w:cstheme="minorHAnsi"/>
        </w:rPr>
        <w:t>Mannheim</w:t>
      </w:r>
      <w:proofErr w:type="spellEnd"/>
      <w:r w:rsidR="00AD1DDE" w:rsidRPr="00AD1DDE">
        <w:rPr>
          <w:rFonts w:cstheme="minorHAnsi"/>
        </w:rPr>
        <w:t xml:space="preserve"> ([1928], 1993)- no puede ser definida sólo por la contemporaneidad cronológica</w:t>
      </w:r>
      <w:r w:rsidR="00C45F1E">
        <w:rPr>
          <w:rFonts w:cstheme="minorHAnsi"/>
        </w:rPr>
        <w:t xml:space="preserve"> de sus integrantes. P</w:t>
      </w:r>
      <w:r w:rsidR="00AD1DDE" w:rsidRPr="00AD1DDE">
        <w:rPr>
          <w:rFonts w:cstheme="minorHAnsi"/>
        </w:rPr>
        <w:t>or lo tanto, s</w:t>
      </w:r>
      <w:r w:rsidR="00C45F1E">
        <w:rPr>
          <w:rFonts w:cstheme="minorHAnsi"/>
        </w:rPr>
        <w:t xml:space="preserve">igo </w:t>
      </w:r>
      <w:r w:rsidR="00AD1DDE" w:rsidRPr="00AD1DDE">
        <w:rPr>
          <w:rFonts w:cstheme="minorHAnsi"/>
        </w:rPr>
        <w:t xml:space="preserve">el planeo de </w:t>
      </w:r>
      <w:r w:rsidRPr="00AD1DDE">
        <w:rPr>
          <w:rFonts w:cstheme="minorHAnsi"/>
        </w:rPr>
        <w:t xml:space="preserve">Laura </w:t>
      </w:r>
      <w:proofErr w:type="spellStart"/>
      <w:r w:rsidRPr="00AD1DDE">
        <w:rPr>
          <w:rFonts w:cstheme="minorHAnsi"/>
        </w:rPr>
        <w:t>Kropff</w:t>
      </w:r>
      <w:proofErr w:type="spellEnd"/>
      <w:r w:rsidRPr="00AD1DDE">
        <w:rPr>
          <w:rFonts w:cstheme="minorHAnsi"/>
        </w:rPr>
        <w:t xml:space="preserve"> (2009) –quien retoma las etnografías de los grupos de edad- </w:t>
      </w:r>
      <w:r w:rsidR="00AD1DDE" w:rsidRPr="00AD1DDE">
        <w:rPr>
          <w:rFonts w:cstheme="minorHAnsi"/>
        </w:rPr>
        <w:t xml:space="preserve">cuando postula </w:t>
      </w:r>
      <w:r w:rsidRPr="00AD1DDE">
        <w:rPr>
          <w:rFonts w:cstheme="minorHAnsi"/>
        </w:rPr>
        <w:t>las generaciones son entidades colectivas que comparten experiencias sociales significativas “originarias”, esto es,</w:t>
      </w:r>
      <w:r w:rsidRPr="00381066">
        <w:rPr>
          <w:rFonts w:cstheme="minorHAnsi"/>
        </w:rPr>
        <w:t xml:space="preserve"> </w:t>
      </w:r>
    </w:p>
    <w:p w:rsidR="00381066" w:rsidRPr="00381066" w:rsidRDefault="00381066" w:rsidP="0067527A">
      <w:pPr>
        <w:autoSpaceDE w:val="0"/>
        <w:autoSpaceDN w:val="0"/>
        <w:adjustRightInd w:val="0"/>
        <w:spacing w:after="0" w:line="276" w:lineRule="auto"/>
        <w:ind w:left="709"/>
        <w:jc w:val="both"/>
        <w:rPr>
          <w:rFonts w:cstheme="minorHAnsi"/>
        </w:rPr>
      </w:pPr>
      <w:proofErr w:type="gramStart"/>
      <w:r w:rsidRPr="00381066">
        <w:rPr>
          <w:rFonts w:cstheme="minorHAnsi"/>
        </w:rPr>
        <w:t>las</w:t>
      </w:r>
      <w:proofErr w:type="gramEnd"/>
      <w:r w:rsidRPr="00381066">
        <w:rPr>
          <w:rFonts w:cstheme="minorHAnsi"/>
        </w:rPr>
        <w:t xml:space="preserve"> primeras que una cohorte de edad experimenta colectivamente, las experiencias con las que ‘nace’ como actor en determinado ámbito o arena social. Esto incluye también que, a partir de esa experiencia originaria, la cohorte de edad sea reconocida como “generación” por otros, que le sea otorgada una entidad como actor social.</w:t>
      </w:r>
    </w:p>
    <w:p w:rsidR="00381066" w:rsidRPr="00381066" w:rsidRDefault="00381066" w:rsidP="0067527A">
      <w:pPr>
        <w:autoSpaceDE w:val="0"/>
        <w:autoSpaceDN w:val="0"/>
        <w:adjustRightInd w:val="0"/>
        <w:spacing w:after="0" w:line="276" w:lineRule="auto"/>
        <w:ind w:left="709"/>
        <w:jc w:val="both"/>
        <w:rPr>
          <w:rFonts w:cstheme="minorHAnsi"/>
        </w:rPr>
      </w:pPr>
      <w:r w:rsidRPr="00381066">
        <w:rPr>
          <w:rFonts w:cstheme="minorHAnsi"/>
        </w:rPr>
        <w:t xml:space="preserve">Desde esta perspectiva, las generaciones pueden ser definidas como grupos de edad (cohortes de edad con conciencia de edad) en tanto articulaciones de agencia que se desplazan a través de grados de edad que son, a su vez, posiciones de sujeto hegemónicamente determinadas que constituyen arenas de disputa y </w:t>
      </w:r>
      <w:proofErr w:type="spellStart"/>
      <w:r w:rsidRPr="00381066">
        <w:rPr>
          <w:rFonts w:cstheme="minorHAnsi"/>
        </w:rPr>
        <w:t>resignificación</w:t>
      </w:r>
      <w:proofErr w:type="spellEnd"/>
      <w:r w:rsidRPr="00381066">
        <w:rPr>
          <w:rFonts w:cstheme="minorHAnsi"/>
        </w:rPr>
        <w:t xml:space="preserve"> con profundidad histórica (</w:t>
      </w:r>
      <w:proofErr w:type="spellStart"/>
      <w:r w:rsidRPr="00381066">
        <w:rPr>
          <w:rFonts w:cstheme="minorHAnsi"/>
        </w:rPr>
        <w:t>Kropff</w:t>
      </w:r>
      <w:proofErr w:type="spellEnd"/>
      <w:r w:rsidRPr="00381066">
        <w:rPr>
          <w:rFonts w:cstheme="minorHAnsi"/>
        </w:rPr>
        <w:t>, 2009: 181).</w:t>
      </w:r>
    </w:p>
    <w:p w:rsidR="00381066" w:rsidRPr="00381066" w:rsidRDefault="00381066" w:rsidP="0067527A">
      <w:pPr>
        <w:spacing w:line="276" w:lineRule="auto"/>
        <w:ind w:left="709"/>
        <w:jc w:val="both"/>
        <w:rPr>
          <w:rFonts w:cstheme="minorHAnsi"/>
        </w:rPr>
      </w:pPr>
    </w:p>
    <w:p w:rsidR="00381066" w:rsidRPr="00381066" w:rsidRDefault="00381066" w:rsidP="00381066">
      <w:pPr>
        <w:spacing w:line="276" w:lineRule="auto"/>
        <w:jc w:val="both"/>
        <w:rPr>
          <w:rFonts w:cstheme="minorHAnsi"/>
        </w:rPr>
      </w:pPr>
      <w:r w:rsidRPr="00381066">
        <w:rPr>
          <w:rFonts w:cstheme="minorHAnsi"/>
        </w:rPr>
        <w:t xml:space="preserve">En el evento etnográfico bajo análisis, los mismos participantes del panel se identificaban a sí mismos como generaciones diferentes que traman un diálogo en el que se establecen diferencias y similitudes en función de las apropiaciones que realizan de las experiencias vividas en contextos </w:t>
      </w:r>
      <w:proofErr w:type="spellStart"/>
      <w:r w:rsidRPr="00381066">
        <w:rPr>
          <w:rFonts w:cstheme="minorHAnsi"/>
        </w:rPr>
        <w:t>sociohistóricos</w:t>
      </w:r>
      <w:proofErr w:type="spellEnd"/>
      <w:r w:rsidRPr="00381066">
        <w:rPr>
          <w:rFonts w:cstheme="minorHAnsi"/>
        </w:rPr>
        <w:t xml:space="preserve"> diferentes. </w:t>
      </w:r>
      <w:r w:rsidR="007826F1">
        <w:rPr>
          <w:rFonts w:cstheme="minorHAnsi"/>
        </w:rPr>
        <w:t xml:space="preserve">En ese sentido, </w:t>
      </w:r>
      <w:r w:rsidR="007826F1" w:rsidRPr="007826F1">
        <w:rPr>
          <w:rFonts w:cstheme="minorHAnsi"/>
        </w:rPr>
        <w:t>la referencia a las tradiciones históricas de lucha es un elemento que aparece con fuerza en las movilizaciones juveniles, cuando los jóvenes de las organizaciones y movimientos sociales se juntan evocan una memoria, llevan la mirada a una historia rica de experiencias y encuentran en ella un terreno fértil de ideas, imágenes, compromiso y luchas en los que se pueden ver reflejados (</w:t>
      </w:r>
      <w:proofErr w:type="spellStart"/>
      <w:r w:rsidR="007826F1" w:rsidRPr="007826F1">
        <w:rPr>
          <w:rFonts w:cstheme="minorHAnsi"/>
        </w:rPr>
        <w:t>Giorgetti</w:t>
      </w:r>
      <w:proofErr w:type="spellEnd"/>
      <w:r w:rsidR="007826F1" w:rsidRPr="007826F1">
        <w:rPr>
          <w:rFonts w:cstheme="minorHAnsi"/>
        </w:rPr>
        <w:t>, 2020).</w:t>
      </w:r>
      <w:r w:rsidR="007826F1">
        <w:rPr>
          <w:rFonts w:cstheme="minorHAnsi"/>
        </w:rPr>
        <w:t xml:space="preserve"> </w:t>
      </w:r>
      <w:r w:rsidR="00C45F1E">
        <w:rPr>
          <w:rFonts w:cstheme="minorHAnsi"/>
        </w:rPr>
        <w:t>En ese sentido, una</w:t>
      </w:r>
      <w:r w:rsidRPr="00381066">
        <w:rPr>
          <w:rFonts w:cstheme="minorHAnsi"/>
        </w:rPr>
        <w:t xml:space="preserve"> de las experiencias sociales significativa para una de las generaciones es reconocerse como “hija” de la democracia y, por lo tanto, el desconcierto que atraviesa frente a medidas autoritarias y sancionadoras de la protesta por parte de la gestión de la administración de la Ciudad de Buenos Aires. En oposición a tal generación, la de la activista política atravesó al menos un golpe de estado, sufrió el terrorismo de estado y muchos de sus integrantes hoy se encuentran desaparecidos. En ese sentido, participar políticamente significa y significó atravesar experiencias diferentes respecto de la vida y la muerte. Así lo planteó, Catalina, una de las jóvenes de la </w:t>
      </w:r>
      <w:proofErr w:type="spellStart"/>
      <w:r w:rsidRPr="00381066">
        <w:rPr>
          <w:rFonts w:cstheme="minorHAnsi"/>
        </w:rPr>
        <w:t>ReNAPDe</w:t>
      </w:r>
      <w:proofErr w:type="spellEnd"/>
      <w:r w:rsidRPr="00381066">
        <w:rPr>
          <w:rFonts w:cstheme="minorHAnsi"/>
        </w:rPr>
        <w:t xml:space="preserve">, oriunda de la Ciudad de Buenos Aires, integrante del movimiento de estudiantes de escuelas secundarias: </w:t>
      </w:r>
    </w:p>
    <w:p w:rsidR="00381066" w:rsidRPr="00381066" w:rsidRDefault="00381066" w:rsidP="0067527A">
      <w:pPr>
        <w:spacing w:line="276" w:lineRule="auto"/>
        <w:ind w:left="709"/>
        <w:jc w:val="both"/>
        <w:rPr>
          <w:rFonts w:cstheme="minorHAnsi"/>
        </w:rPr>
      </w:pPr>
      <w:r w:rsidRPr="00381066">
        <w:rPr>
          <w:rFonts w:cstheme="minorHAnsi"/>
        </w:rPr>
        <w:t xml:space="preserve">No sé si tengo una pregunta particular, me llevo muchas cosas, la verdad, así que no sé si mi intervención va a ir algún lado, pero es para que lo charlemos. De hecho, el 16 pasado, te </w:t>
      </w:r>
      <w:r w:rsidRPr="00381066">
        <w:rPr>
          <w:rFonts w:cstheme="minorHAnsi"/>
        </w:rPr>
        <w:lastRenderedPageBreak/>
        <w:t>comento porque es algo que me moviliza un montón, hicimos una intervención sobre la Noche de los Lápices, (…) y estar hoy acá, sentada al lado tuyo es un montón, la verdad… Vos decías que el atentado a la Vicepresidenta</w:t>
      </w:r>
      <w:r w:rsidRPr="00381066">
        <w:rPr>
          <w:rStyle w:val="Refdenotaalpie"/>
          <w:rFonts w:cstheme="minorHAnsi"/>
        </w:rPr>
        <w:footnoteReference w:id="9"/>
      </w:r>
      <w:r w:rsidRPr="00381066">
        <w:rPr>
          <w:rFonts w:cstheme="minorHAnsi"/>
        </w:rPr>
        <w:t xml:space="preserve"> fue una ruptura del Pacto Democrático, del Nunca Más, y yo no dejo de relacionarlo con las tomas en los colegios de la Ciudad de Buenos Aires del año pasado, organizadas por el movimiento de estudiantes secundarios de la ciudad. La policía de la Ciudad entró a los colegios a amedrentarnos, a intimidarnos. Los pibes amanecían con patrulleros en las puertas de sus casas, es algo inconcebible pero… para su generación capaz es algo alarmante, es una ruptura más del pacto democrático, es algo hasta incluso doloroso, pero para nuestra generación hija de la democracia, es completamente desorientador. Yo no dejo de relacionarlo también con que, en su generación, los compañeros que hoy nos faltan, nos faltan esas existencias que estaban en ese grueso de militantes. Estamos en un momento muy extraño de la política, estamos como ‘bueno ¿dónde vamos? ¿Qué pasa?’, y poner el cuerpo, capaz en aquel momento era más difícil, bueno, valía literalmente la vida, (…) </w:t>
      </w:r>
      <w:proofErr w:type="spellStart"/>
      <w:r w:rsidRPr="00381066">
        <w:rPr>
          <w:rFonts w:cstheme="minorHAnsi"/>
        </w:rPr>
        <w:t>Sos</w:t>
      </w:r>
      <w:proofErr w:type="spellEnd"/>
      <w:r w:rsidRPr="00381066">
        <w:rPr>
          <w:rFonts w:cstheme="minorHAnsi"/>
        </w:rPr>
        <w:t xml:space="preserve"> un ejemplo de lucha pero es emocionante ver cómo nos encuentran las mismas cosas, cómo las luchas de ayer son las banderas que levantamos hoy de otras maneras (…) no fue solamente el boleto estudiantil, fue literalmente que querían otra patria, no dudo que nuestra generación también quiere otra patria. (Registro de campo, 21/03/2023, Ex ESMA, Catalina)</w:t>
      </w:r>
    </w:p>
    <w:p w:rsidR="00381066" w:rsidRPr="00381066" w:rsidRDefault="00381066" w:rsidP="00381066">
      <w:pPr>
        <w:spacing w:line="276" w:lineRule="auto"/>
        <w:jc w:val="both"/>
        <w:rPr>
          <w:rFonts w:cstheme="minorHAnsi"/>
        </w:rPr>
      </w:pPr>
      <w:r w:rsidRPr="00381066">
        <w:rPr>
          <w:rFonts w:cstheme="minorHAnsi"/>
        </w:rPr>
        <w:t xml:space="preserve">Si bien </w:t>
      </w:r>
      <w:proofErr w:type="spellStart"/>
      <w:r w:rsidRPr="00381066">
        <w:rPr>
          <w:rFonts w:cstheme="minorHAnsi"/>
        </w:rPr>
        <w:t>Kropff</w:t>
      </w:r>
      <w:proofErr w:type="spellEnd"/>
      <w:r w:rsidRPr="00381066">
        <w:rPr>
          <w:rFonts w:cstheme="minorHAnsi"/>
        </w:rPr>
        <w:t xml:space="preserve"> plantea un sentido de generación en tanto grupo de edad, también sostiene que esa misma categoría puede albergar otro sentido, aquel que define a las generaciones como las cohortes genealógicas en los sistemas de parentesco. Trabajos hoy clásicos de la antropología</w:t>
      </w:r>
      <w:r w:rsidR="006E2F55">
        <w:rPr>
          <w:rFonts w:cstheme="minorHAnsi"/>
        </w:rPr>
        <w:t xml:space="preserve"> política</w:t>
      </w:r>
      <w:r w:rsidRPr="00381066">
        <w:rPr>
          <w:rFonts w:cstheme="minorHAnsi"/>
        </w:rPr>
        <w:t xml:space="preserve">, como lo es el estudio de los </w:t>
      </w:r>
      <w:proofErr w:type="spellStart"/>
      <w:r w:rsidRPr="00381066">
        <w:rPr>
          <w:rFonts w:cstheme="minorHAnsi"/>
        </w:rPr>
        <w:t>Nuer</w:t>
      </w:r>
      <w:proofErr w:type="spellEnd"/>
      <w:r w:rsidRPr="00381066">
        <w:rPr>
          <w:rFonts w:cstheme="minorHAnsi"/>
        </w:rPr>
        <w:t xml:space="preserve"> de Evans-</w:t>
      </w:r>
      <w:proofErr w:type="spellStart"/>
      <w:r w:rsidRPr="00381066">
        <w:rPr>
          <w:rFonts w:cstheme="minorHAnsi"/>
        </w:rPr>
        <w:t>Pritchard</w:t>
      </w:r>
      <w:proofErr w:type="spellEnd"/>
      <w:r w:rsidRPr="00381066">
        <w:rPr>
          <w:rFonts w:cstheme="minorHAnsi"/>
        </w:rPr>
        <w:t xml:space="preserve"> (1987)</w:t>
      </w:r>
      <w:r w:rsidR="00C45F1E">
        <w:rPr>
          <w:rFonts w:cstheme="minorHAnsi"/>
        </w:rPr>
        <w:t xml:space="preserve"> entre otros</w:t>
      </w:r>
      <w:r w:rsidRPr="00381066">
        <w:rPr>
          <w:rFonts w:cstheme="minorHAnsi"/>
        </w:rPr>
        <w:t xml:space="preserve">, ya sostuvieron la importancia de los sistemas de parentesco (sus nociones y términos) para la estructuración de instituciones y relaciones políticas. Este artículo también adscribe a la premisa teórica sobre la imposibilidad de separar el parentesco de los dominios sociales, políticos, económicos y religiosos, y así conceptualizar cuán imbricados e </w:t>
      </w:r>
      <w:proofErr w:type="spellStart"/>
      <w:r w:rsidRPr="00381066">
        <w:rPr>
          <w:rFonts w:cstheme="minorHAnsi"/>
        </w:rPr>
        <w:t>interpenetrados</w:t>
      </w:r>
      <w:proofErr w:type="spellEnd"/>
      <w:r w:rsidRPr="00381066">
        <w:rPr>
          <w:rFonts w:cstheme="minorHAnsi"/>
        </w:rPr>
        <w:t xml:space="preserve"> se encuentran esos aspectos en la vida social (</w:t>
      </w:r>
      <w:proofErr w:type="spellStart"/>
      <w:r w:rsidRPr="00381066">
        <w:rPr>
          <w:rFonts w:cstheme="minorHAnsi"/>
        </w:rPr>
        <w:t>McKinnon</w:t>
      </w:r>
      <w:proofErr w:type="spellEnd"/>
      <w:r w:rsidRPr="00381066">
        <w:rPr>
          <w:rFonts w:cstheme="minorHAnsi"/>
        </w:rPr>
        <w:t xml:space="preserve"> y </w:t>
      </w:r>
      <w:proofErr w:type="spellStart"/>
      <w:r w:rsidRPr="00381066">
        <w:rPr>
          <w:rFonts w:cstheme="minorHAnsi"/>
        </w:rPr>
        <w:t>Cannell</w:t>
      </w:r>
      <w:proofErr w:type="spellEnd"/>
      <w:r w:rsidRPr="00381066">
        <w:rPr>
          <w:rFonts w:cstheme="minorHAnsi"/>
        </w:rPr>
        <w:t xml:space="preserve">, 2013; </w:t>
      </w:r>
      <w:proofErr w:type="spellStart"/>
      <w:r w:rsidRPr="00381066">
        <w:rPr>
          <w:rFonts w:cstheme="minorHAnsi"/>
        </w:rPr>
        <w:t>Zelizer</w:t>
      </w:r>
      <w:proofErr w:type="spellEnd"/>
      <w:r w:rsidRPr="00381066">
        <w:rPr>
          <w:rFonts w:cstheme="minorHAnsi"/>
        </w:rPr>
        <w:t xml:space="preserve">, 2009; </w:t>
      </w:r>
      <w:proofErr w:type="spellStart"/>
      <w:r w:rsidRPr="00381066">
        <w:rPr>
          <w:rFonts w:cstheme="minorHAnsi"/>
        </w:rPr>
        <w:t>Neiburg</w:t>
      </w:r>
      <w:proofErr w:type="spellEnd"/>
      <w:r w:rsidRPr="00381066">
        <w:rPr>
          <w:rFonts w:cstheme="minorHAnsi"/>
        </w:rPr>
        <w:t>, 2003). En particular, el parentesco y la política pueden ser pensados como arenas desde donde realizar articulaciones históricamente situadas “con capacidad de entramar y anidar siempre selectivamente relaciones sociales, saberes, prácticas y pertenencias” (Briones y Ramos, 2016:15). En efecto, otros estudios han dado cuenta de la imbricación entre lenguaje de parentesco, ideología política, práctica política local y sociabilidad colectiva, alentando considerar las herramientas provistas por la antropología del parentesco para comprender el establecimiento de conexiones, agrupamientos sociales y sujetos políticos (Lazar, 2023).</w:t>
      </w:r>
      <w:r w:rsidRPr="00381066">
        <w:rPr>
          <w:rStyle w:val="Refdenotaalpie"/>
          <w:rFonts w:cstheme="minorHAnsi"/>
        </w:rPr>
        <w:footnoteReference w:id="10"/>
      </w:r>
      <w:r w:rsidRPr="00381066">
        <w:rPr>
          <w:rFonts w:cstheme="minorHAnsi"/>
        </w:rPr>
        <w:t xml:space="preserve"> Sian Lazar –en su análisis sobre las formas de creación de parentesco en los sindicatos </w:t>
      </w:r>
      <w:r w:rsidR="006E2F55">
        <w:rPr>
          <w:rFonts w:cstheme="minorHAnsi"/>
        </w:rPr>
        <w:t>de</w:t>
      </w:r>
      <w:r w:rsidRPr="00381066">
        <w:rPr>
          <w:rFonts w:cstheme="minorHAnsi"/>
        </w:rPr>
        <w:t xml:space="preserve"> nuestro país- retoma la categoría </w:t>
      </w:r>
      <w:proofErr w:type="spellStart"/>
      <w:r w:rsidRPr="00381066">
        <w:rPr>
          <w:rFonts w:cstheme="minorHAnsi"/>
          <w:i/>
        </w:rPr>
        <w:t>kin-like</w:t>
      </w:r>
      <w:proofErr w:type="spellEnd"/>
      <w:r w:rsidRPr="00381066">
        <w:rPr>
          <w:rFonts w:cstheme="minorHAnsi"/>
        </w:rPr>
        <w:t xml:space="preserve"> de </w:t>
      </w:r>
      <w:proofErr w:type="spellStart"/>
      <w:r w:rsidRPr="00381066">
        <w:rPr>
          <w:rFonts w:cstheme="minorHAnsi"/>
        </w:rPr>
        <w:t>Fortes</w:t>
      </w:r>
      <w:proofErr w:type="spellEnd"/>
      <w:r w:rsidRPr="00381066">
        <w:rPr>
          <w:rFonts w:cstheme="minorHAnsi"/>
        </w:rPr>
        <w:t xml:space="preserve"> (</w:t>
      </w:r>
      <w:proofErr w:type="spellStart"/>
      <w:r w:rsidRPr="00381066">
        <w:rPr>
          <w:rFonts w:cstheme="minorHAnsi"/>
        </w:rPr>
        <w:t>apud</w:t>
      </w:r>
      <w:proofErr w:type="spellEnd"/>
      <w:r w:rsidRPr="00381066">
        <w:rPr>
          <w:rFonts w:cstheme="minorHAnsi"/>
        </w:rPr>
        <w:t xml:space="preserve">. Lazar, 2023) para dar cuenta del establecimiento de vínculos entre personas </w:t>
      </w:r>
      <w:r w:rsidRPr="00381066">
        <w:rPr>
          <w:rFonts w:cstheme="minorHAnsi"/>
        </w:rPr>
        <w:lastRenderedPageBreak/>
        <w:t>consideradas “no parientes” pero de un modo que se parece al parentesco.</w:t>
      </w:r>
      <w:r w:rsidRPr="00381066">
        <w:rPr>
          <w:rStyle w:val="Refdenotaalpie"/>
          <w:rFonts w:cstheme="minorHAnsi"/>
        </w:rPr>
        <w:footnoteReference w:id="11"/>
      </w:r>
      <w:r w:rsidRPr="00381066">
        <w:rPr>
          <w:rFonts w:cstheme="minorHAnsi"/>
        </w:rPr>
        <w:t xml:space="preserve"> Estas últimas investigaciones, inspiradas en la renovación que se dio en el campo de los estudios del parentesco desde el tercio final del siglo pasado, acentúan el interés por las formas “nativas” en que se establecen y significan las relaciones de parentesco en términos de construcciones culturales de conexión (</w:t>
      </w:r>
      <w:proofErr w:type="spellStart"/>
      <w:r w:rsidRPr="00381066">
        <w:rPr>
          <w:rFonts w:cstheme="minorHAnsi"/>
        </w:rPr>
        <w:t>Carsten</w:t>
      </w:r>
      <w:proofErr w:type="spellEnd"/>
      <w:r w:rsidRPr="00381066">
        <w:rPr>
          <w:rFonts w:cstheme="minorHAnsi"/>
        </w:rPr>
        <w:t>, 2000; Fonseca, 2003). Desde estos enfoques el parentesco refiere a modos de relacionarse, de estar emparentado (</w:t>
      </w:r>
      <w:proofErr w:type="spellStart"/>
      <w:r w:rsidRPr="00381066">
        <w:rPr>
          <w:rFonts w:cstheme="minorHAnsi"/>
          <w:i/>
        </w:rPr>
        <w:t>relatedness</w:t>
      </w:r>
      <w:proofErr w:type="spellEnd"/>
      <w:r w:rsidRPr="00381066">
        <w:rPr>
          <w:rFonts w:cstheme="minorHAnsi"/>
        </w:rPr>
        <w:t xml:space="preserve">), producidos a través de prácticas cotidianas que no necesariamente tienen lugar a través de la </w:t>
      </w:r>
      <w:proofErr w:type="spellStart"/>
      <w:r w:rsidRPr="00381066">
        <w:rPr>
          <w:rFonts w:cstheme="minorHAnsi"/>
        </w:rPr>
        <w:t>relacionalidad</w:t>
      </w:r>
      <w:proofErr w:type="spellEnd"/>
      <w:r w:rsidRPr="00381066">
        <w:rPr>
          <w:rFonts w:cstheme="minorHAnsi"/>
        </w:rPr>
        <w:t xml:space="preserve"> biológica (procreación, filiación o descendencia), sino a través de acciones culturalmente apropiadas, producidas </w:t>
      </w:r>
      <w:proofErr w:type="spellStart"/>
      <w:r w:rsidRPr="00381066">
        <w:rPr>
          <w:rFonts w:cstheme="minorHAnsi"/>
        </w:rPr>
        <w:t>performativamente</w:t>
      </w:r>
      <w:proofErr w:type="spellEnd"/>
      <w:r w:rsidRPr="00381066">
        <w:rPr>
          <w:rFonts w:cstheme="minorHAnsi"/>
        </w:rPr>
        <w:t xml:space="preserve"> (</w:t>
      </w:r>
      <w:proofErr w:type="spellStart"/>
      <w:r w:rsidRPr="00381066">
        <w:rPr>
          <w:rFonts w:cstheme="minorHAnsi"/>
        </w:rPr>
        <w:t>Sahlins</w:t>
      </w:r>
      <w:proofErr w:type="spellEnd"/>
      <w:r w:rsidRPr="00381066">
        <w:rPr>
          <w:rFonts w:cstheme="minorHAnsi"/>
        </w:rPr>
        <w:t xml:space="preserve">, 2013), tales como la </w:t>
      </w:r>
      <w:proofErr w:type="spellStart"/>
      <w:r w:rsidRPr="00381066">
        <w:rPr>
          <w:rFonts w:cstheme="minorHAnsi"/>
        </w:rPr>
        <w:t>comensalidad</w:t>
      </w:r>
      <w:proofErr w:type="spellEnd"/>
      <w:r w:rsidRPr="00381066">
        <w:rPr>
          <w:rFonts w:cstheme="minorHAnsi"/>
        </w:rPr>
        <w:t>, el cuidado y la circulación de sustancias (</w:t>
      </w:r>
      <w:proofErr w:type="spellStart"/>
      <w:r w:rsidRPr="00381066">
        <w:rPr>
          <w:rFonts w:cstheme="minorHAnsi"/>
        </w:rPr>
        <w:t>Carsten</w:t>
      </w:r>
      <w:proofErr w:type="spellEnd"/>
      <w:r w:rsidRPr="00381066">
        <w:rPr>
          <w:rFonts w:cstheme="minorHAnsi"/>
        </w:rPr>
        <w:t xml:space="preserve">, 2004). </w:t>
      </w:r>
    </w:p>
    <w:p w:rsidR="00381066" w:rsidRPr="00381066" w:rsidRDefault="00381066" w:rsidP="00381066">
      <w:pPr>
        <w:spacing w:line="276" w:lineRule="auto"/>
        <w:jc w:val="both"/>
        <w:rPr>
          <w:rFonts w:cstheme="minorHAnsi"/>
        </w:rPr>
      </w:pPr>
      <w:r w:rsidRPr="00381066">
        <w:rPr>
          <w:rFonts w:cstheme="minorHAnsi"/>
        </w:rPr>
        <w:t xml:space="preserve">Estos antecedentes han inspirado </w:t>
      </w:r>
      <w:r w:rsidR="000B373E">
        <w:rPr>
          <w:rFonts w:cstheme="minorHAnsi"/>
        </w:rPr>
        <w:t>mi</w:t>
      </w:r>
      <w:r w:rsidRPr="00381066">
        <w:rPr>
          <w:rFonts w:cstheme="minorHAnsi"/>
        </w:rPr>
        <w:t xml:space="preserve"> planteo para pensar otros sentidos asociados a las generaciones que plantea Catalina –así como otros jóvenes en este evento etnográfico- no ya como grupos de edad, sino como miembros de cohortes de generaciones </w:t>
      </w:r>
      <w:r w:rsidR="000B373E">
        <w:rPr>
          <w:rFonts w:cstheme="minorHAnsi"/>
        </w:rPr>
        <w:t>pertenecientes a lo que denomino</w:t>
      </w:r>
      <w:r w:rsidRPr="00381066">
        <w:rPr>
          <w:rFonts w:cstheme="minorHAnsi"/>
        </w:rPr>
        <w:t xml:space="preserve"> un “linaje político”. Proponemos conceptualizar este término de parentesco, linaje -no ya en su definición tradicional basada en reglas de filiación y descendencia-, sino para pensar en la conformación de sentidos de pertenencia, tal como sugiere Ana Margarita Ramos (2010) en su análisis de los procesos de familiarización de las comunidades mapuches-tehuelches en contextos de fragmentación y desplazamiento en nuestro país. El linaje, entonces, refiere a un sentido de pertenencia -“que puede ser actualizado en determinados contextos aun cuando sus miembros puedan fluctuar en distintas situaciones históricas” (Ramos, 2010:32)- y una historia común. La investigadora se inspira en el planteo de Levi-Strauss (1997) sobre la noción europea </w:t>
      </w:r>
      <w:proofErr w:type="spellStart"/>
      <w:r w:rsidRPr="00381066">
        <w:rPr>
          <w:rFonts w:cstheme="minorHAnsi"/>
          <w:i/>
        </w:rPr>
        <w:t>maison</w:t>
      </w:r>
      <w:proofErr w:type="spellEnd"/>
      <w:r w:rsidRPr="00381066">
        <w:rPr>
          <w:rFonts w:cstheme="minorHAnsi"/>
        </w:rPr>
        <w:t xml:space="preserve"> (casa) –categoría utilizada para representar relaciones económicas, políticas, rituales, cotidianas y afectivas involucradas en la formación temporaria o permanente de grupo sociales-, que supone “la continuidad de una persona moral más allá de sus miembros concretos, objetivada en el mantenimiento –a través de su custodia entre distintas generaciones- de las propiedades valoradas, materiales e inmateriales y la utilización estratégica del lenguaje de parentesco y afinidad” (2010:30). En nuestro caso, proponemos la categoría linaje para referir al sentido de pertenencia a un determinado colectivo político que transmite herencias y legados, y que supone cambios y continuidades a través de los cuales el grupo de pertenencia puede trascender y englobar diferentes generaciones. Por lo tanto, postulamos que las fronteras entre las generaciones -en tanto grupo de edad- de los participantes son subsumidas en un mismo linaje, ya que no remite a conceptualizaciones ancladas en consanguinidad, sino a sentidos de pertenencia que conforman una identidad común, un nosotros frente a otros grupos políticos. </w:t>
      </w:r>
    </w:p>
    <w:p w:rsidR="000B373E" w:rsidRDefault="00381066" w:rsidP="00381066">
      <w:pPr>
        <w:spacing w:line="276" w:lineRule="auto"/>
        <w:jc w:val="both"/>
        <w:rPr>
          <w:rFonts w:cstheme="minorHAnsi"/>
        </w:rPr>
      </w:pPr>
      <w:r w:rsidRPr="00381066">
        <w:rPr>
          <w:rFonts w:cstheme="minorHAnsi"/>
        </w:rPr>
        <w:t xml:space="preserve">Como se puede leer en la intervención de Catalina, la joven se reconoce como miembro de una generación diferente a la de la activista política, pero transmite una percepción de sí misma como continuadora del legado del linaje político del que se siente parte. Catalina actualiza los propósitos políticos de la generación del setenta con su generación: ambos quieren “una patria distinta”. En ese sentido, en este evento etnográfico se comparten sufrimientos y experiencias vinculadas a la militancia política que se consagran en ese mismo evento, atendiendo al carácter </w:t>
      </w:r>
      <w:proofErr w:type="spellStart"/>
      <w:r w:rsidRPr="00381066">
        <w:rPr>
          <w:rFonts w:cstheme="minorHAnsi"/>
        </w:rPr>
        <w:t>performativo</w:t>
      </w:r>
      <w:proofErr w:type="spellEnd"/>
      <w:r w:rsidRPr="00381066">
        <w:rPr>
          <w:rFonts w:cstheme="minorHAnsi"/>
        </w:rPr>
        <w:t xml:space="preserve"> que tiene el hablar ya que gracias a la fuerza </w:t>
      </w:r>
      <w:proofErr w:type="spellStart"/>
      <w:r w:rsidRPr="00381066">
        <w:rPr>
          <w:rFonts w:cstheme="minorHAnsi"/>
        </w:rPr>
        <w:t>ilocucionaria</w:t>
      </w:r>
      <w:proofErr w:type="spellEnd"/>
      <w:r w:rsidRPr="00381066">
        <w:rPr>
          <w:rFonts w:cstheme="minorHAnsi"/>
        </w:rPr>
        <w:t xml:space="preserve"> de la palabra (Austin, 1982), esta no sólo describe, sino </w:t>
      </w:r>
      <w:r w:rsidRPr="00381066">
        <w:rPr>
          <w:rFonts w:cstheme="minorHAnsi"/>
        </w:rPr>
        <w:lastRenderedPageBreak/>
        <w:t>que lo dicho también es acción social, crea sentidos de pertenencia que anudan el pasado y el presente. Así, la referencia a los afectos y emociones que se experimentan en ese evento etnográfico (“me moviliza un montón”, “me emociona ver cómo nos encuentran las mismas cosas”)</w:t>
      </w:r>
      <w:r w:rsidRPr="00381066">
        <w:rPr>
          <w:rStyle w:val="Refdenotaalpie"/>
          <w:rFonts w:cstheme="minorHAnsi"/>
        </w:rPr>
        <w:footnoteReference w:id="12"/>
      </w:r>
      <w:r w:rsidRPr="00381066">
        <w:rPr>
          <w:rFonts w:cstheme="minorHAnsi"/>
        </w:rPr>
        <w:t xml:space="preserve"> apela también a la </w:t>
      </w:r>
      <w:proofErr w:type="spellStart"/>
      <w:r w:rsidRPr="00381066">
        <w:rPr>
          <w:rFonts w:cstheme="minorHAnsi"/>
        </w:rPr>
        <w:t>performatividad</w:t>
      </w:r>
      <w:proofErr w:type="spellEnd"/>
      <w:r w:rsidRPr="00381066">
        <w:rPr>
          <w:rFonts w:cstheme="minorHAnsi"/>
        </w:rPr>
        <w:t xml:space="preserve"> de las emociones ya que esos actos del habla tienen efectos en los presentes: los enlaza o “pega” al decir de Sarah Ahmed (2014). Esos actos de habla se dirigen hacia la activista invitada pero también hacia el resto del auditorio, los invita a ser </w:t>
      </w:r>
      <w:proofErr w:type="spellStart"/>
      <w:r w:rsidRPr="00381066">
        <w:rPr>
          <w:rFonts w:cstheme="minorHAnsi"/>
        </w:rPr>
        <w:t>coparticipantes</w:t>
      </w:r>
      <w:proofErr w:type="spellEnd"/>
      <w:r w:rsidRPr="00381066">
        <w:rPr>
          <w:rFonts w:cstheme="minorHAnsi"/>
        </w:rPr>
        <w:t xml:space="preserve"> en esas emociones, ligándolos en una comunidad en la que las comparten, al menos en la temporalidad del evento etnográfico. En efecto, los aplausos y los silbidos emitidos al final de las interlocuciones dan cuenta de esa coparticipación y de esa comunidad emotiva. </w:t>
      </w:r>
    </w:p>
    <w:p w:rsidR="00381066" w:rsidRDefault="00381066" w:rsidP="00381066">
      <w:pPr>
        <w:spacing w:line="276" w:lineRule="auto"/>
        <w:jc w:val="both"/>
        <w:rPr>
          <w:rFonts w:cstheme="minorHAnsi"/>
        </w:rPr>
      </w:pPr>
      <w:r w:rsidRPr="00381066">
        <w:rPr>
          <w:rFonts w:cstheme="minorHAnsi"/>
        </w:rPr>
        <w:t xml:space="preserve">En esa dirección, la “construcción de genealogías de pertenencia” (Ramos, 2010) no implica sujetos pasivos en su recepción de legados antiguos o anteriores –como llevaría a pensar el término socialización- sino que supone agentes sociales que reestructuran activamente ese sentido de pertenencia. En el caso de Catalina, además de lo planteado, ella establece relaciones entre acontecimientos socio-políticos de la historia reciente y del presente: la afrenta a la vida en democracia con las propias experiencias de participación política que vivenció como estudiante secundaria. </w:t>
      </w:r>
    </w:p>
    <w:p w:rsidR="006E2F55" w:rsidRDefault="006E2F55" w:rsidP="005F2CED">
      <w:pPr>
        <w:spacing w:line="276" w:lineRule="auto"/>
        <w:jc w:val="both"/>
        <w:rPr>
          <w:rFonts w:cstheme="minorHAnsi"/>
        </w:rPr>
      </w:pPr>
      <w:r>
        <w:rPr>
          <w:rFonts w:cstheme="minorHAnsi"/>
        </w:rPr>
        <w:t xml:space="preserve">Por su parte, la referente política afirma “ustedes van a tomar la posta, pero también son ahora agentes de cambio”, </w:t>
      </w:r>
      <w:r w:rsidR="001B04D7">
        <w:rPr>
          <w:rFonts w:cstheme="minorHAnsi"/>
        </w:rPr>
        <w:t xml:space="preserve">y al hacerlo </w:t>
      </w:r>
      <w:r>
        <w:rPr>
          <w:rFonts w:cstheme="minorHAnsi"/>
        </w:rPr>
        <w:t>reinscribe a los y las jóvenes presentes en ese linaje político</w:t>
      </w:r>
      <w:r w:rsidR="005F2CED">
        <w:rPr>
          <w:rFonts w:cstheme="minorHAnsi"/>
        </w:rPr>
        <w:t xml:space="preserve"> en tanto que herederos, </w:t>
      </w:r>
      <w:r w:rsidR="001B04D7">
        <w:rPr>
          <w:rFonts w:cstheme="minorHAnsi"/>
        </w:rPr>
        <w:t xml:space="preserve">los </w:t>
      </w:r>
      <w:r>
        <w:rPr>
          <w:rFonts w:cstheme="minorHAnsi"/>
        </w:rPr>
        <w:t xml:space="preserve">vincula con </w:t>
      </w:r>
      <w:r w:rsidR="001B04D7">
        <w:rPr>
          <w:rFonts w:cstheme="minorHAnsi"/>
        </w:rPr>
        <w:t>el</w:t>
      </w:r>
      <w:r w:rsidR="005F2CED">
        <w:rPr>
          <w:rFonts w:cstheme="minorHAnsi"/>
        </w:rPr>
        <w:t xml:space="preserve"> futuro pero también los concibe, desde su presente, como agentes sociales con capacidad de acción para generar –en su condición de jóvenes- transformaciones en la sociedad. </w:t>
      </w:r>
      <w:r w:rsidR="00941B01">
        <w:rPr>
          <w:rFonts w:cstheme="minorHAnsi"/>
        </w:rPr>
        <w:t xml:space="preserve">Y, en particular, les encomienda una misión: </w:t>
      </w:r>
      <w:proofErr w:type="spellStart"/>
      <w:r w:rsidR="00941B01">
        <w:rPr>
          <w:rFonts w:cstheme="minorHAnsi"/>
        </w:rPr>
        <w:t>redireccionar</w:t>
      </w:r>
      <w:proofErr w:type="spellEnd"/>
      <w:r w:rsidR="00941B01">
        <w:rPr>
          <w:rFonts w:cstheme="minorHAnsi"/>
        </w:rPr>
        <w:t xml:space="preserve"> el curso de la política, </w:t>
      </w:r>
      <w:r w:rsidR="000B373E">
        <w:rPr>
          <w:rFonts w:cstheme="minorHAnsi"/>
        </w:rPr>
        <w:t xml:space="preserve">interpelándolos </w:t>
      </w:r>
      <w:r w:rsidR="000B373E" w:rsidRPr="000B373E">
        <w:rPr>
          <w:rFonts w:cstheme="minorHAnsi"/>
        </w:rPr>
        <w:t xml:space="preserve">cual </w:t>
      </w:r>
      <w:r w:rsidR="00941B01">
        <w:rPr>
          <w:rFonts w:cstheme="minorHAnsi"/>
        </w:rPr>
        <w:t xml:space="preserve">sujetos políticos. </w:t>
      </w:r>
    </w:p>
    <w:p w:rsidR="002F7A63" w:rsidRPr="002F7A63" w:rsidRDefault="002F7A63" w:rsidP="00381066">
      <w:pPr>
        <w:spacing w:line="276" w:lineRule="auto"/>
        <w:jc w:val="both"/>
        <w:rPr>
          <w:rFonts w:cstheme="minorHAnsi"/>
          <w:b/>
        </w:rPr>
      </w:pPr>
      <w:r w:rsidRPr="002F7A63">
        <w:rPr>
          <w:rFonts w:cstheme="minorHAnsi"/>
          <w:b/>
        </w:rPr>
        <w:t>Palabras finales</w:t>
      </w:r>
    </w:p>
    <w:p w:rsidR="00524227" w:rsidRPr="00524227" w:rsidRDefault="00524227" w:rsidP="00524227">
      <w:pPr>
        <w:spacing w:line="276" w:lineRule="auto"/>
        <w:jc w:val="both"/>
        <w:rPr>
          <w:rFonts w:cstheme="minorHAnsi"/>
        </w:rPr>
      </w:pPr>
      <w:r w:rsidRPr="00524227">
        <w:rPr>
          <w:rFonts w:cstheme="minorHAnsi"/>
        </w:rPr>
        <w:t>En el artículo analiz</w:t>
      </w:r>
      <w:r w:rsidR="000B373E">
        <w:rPr>
          <w:rFonts w:cstheme="minorHAnsi"/>
        </w:rPr>
        <w:t>o</w:t>
      </w:r>
      <w:r w:rsidRPr="00524227">
        <w:rPr>
          <w:rFonts w:cstheme="minorHAnsi"/>
        </w:rPr>
        <w:t xml:space="preserve"> un evento etnográfico que condensa distintos aspectos de una actividad de formación política que supone la creación y celebración de un colectivo, de un nosotros –que lo llam</w:t>
      </w:r>
      <w:r w:rsidR="000B373E">
        <w:rPr>
          <w:rFonts w:cstheme="minorHAnsi"/>
        </w:rPr>
        <w:t>o</w:t>
      </w:r>
      <w:r w:rsidRPr="00524227">
        <w:rPr>
          <w:rFonts w:cstheme="minorHAnsi"/>
        </w:rPr>
        <w:t xml:space="preserve"> linaje político-, que implica, a su vez, la producción de sujetos políticos según los principios y posicionamientos de una fuerza política del espectro político-ideológico de nuestro país. </w:t>
      </w:r>
    </w:p>
    <w:p w:rsidR="00524227" w:rsidRPr="00524227" w:rsidRDefault="00524227" w:rsidP="00524227">
      <w:pPr>
        <w:spacing w:line="276" w:lineRule="auto"/>
        <w:jc w:val="both"/>
        <w:rPr>
          <w:rFonts w:cstheme="minorHAnsi"/>
        </w:rPr>
      </w:pPr>
      <w:r w:rsidRPr="00524227">
        <w:rPr>
          <w:rFonts w:cstheme="minorHAnsi"/>
        </w:rPr>
        <w:t xml:space="preserve">La adscripción a ese linaje político supone identificarse con un modo de ser un activista político, respecto de cómo actuar e incluso cómo sentir frente a los demás que no pertenecen o se identifican con el propio linaje. </w:t>
      </w:r>
    </w:p>
    <w:p w:rsidR="00524227" w:rsidRPr="00524227" w:rsidRDefault="00524227" w:rsidP="00524227">
      <w:pPr>
        <w:spacing w:line="276" w:lineRule="auto"/>
        <w:jc w:val="both"/>
        <w:rPr>
          <w:rFonts w:cstheme="minorHAnsi"/>
        </w:rPr>
      </w:pPr>
      <w:r w:rsidRPr="00524227">
        <w:rPr>
          <w:rFonts w:cstheme="minorHAnsi"/>
        </w:rPr>
        <w:t xml:space="preserve">En el análisis de esa experiencia de politización juvenil resultó muy fructífera la aplicación de categorías y herramientas de la antropología del parentesco para conceptualizar la construcción de </w:t>
      </w:r>
      <w:proofErr w:type="spellStart"/>
      <w:r w:rsidRPr="00524227">
        <w:rPr>
          <w:rFonts w:cstheme="minorHAnsi"/>
        </w:rPr>
        <w:t>relacionalidades</w:t>
      </w:r>
      <w:proofErr w:type="spellEnd"/>
      <w:r w:rsidRPr="00524227">
        <w:rPr>
          <w:rFonts w:cstheme="minorHAnsi"/>
        </w:rPr>
        <w:t xml:space="preserve"> en ese evento etnográfico con miras a crear un nosotros, un linaje político en el que se pueden inscribir continuidades y rupturas respecto de la forma de actuar políticamente y las formas de imaginar proyectos políticos futuros. Para ello, se planteó la categoría generaciones en una doble acepción: tanto como un grupo de edad –a fin de poder pensar a las personas que hoy se identifican como jóvenes, encontrando diferencias y similitudes con los jóvenes de los setenta- como generaciones en un sistema genealógico de parentesco. La primera acepción permitió comprender las características específicas que las personas presentes le adjudicaron a la juventud. En ese caso, la </w:t>
      </w:r>
      <w:r w:rsidRPr="00524227">
        <w:rPr>
          <w:rFonts w:cstheme="minorHAnsi"/>
        </w:rPr>
        <w:lastRenderedPageBreak/>
        <w:t xml:space="preserve">activista política invitada en sus actos de habla instituía una forma de ser joven en los años setenta, trabando diferencias y similitudes con una eventual forma de ser joven en la actualidad. Por su parte, los y las jóvenes que tomaron la palabra, también realizaron la misma operatoria cuando identifican “las mismas banderas” pero quizás a través de distintas estrategias. Estas formas de construir continuidades y rupturas permiten también pensar en legados y herencias que los y las jóvenes reconocen como propios en el contexto político e histórico actual. La categoría linaje supone colocar esas generaciones (los y las activistas identificados como jóvenes con sus pares de otrora) en un mismo colectivo: “los compañeros detenidos-desaparecidos” comparten con los jóvenes activistas de hoy (“compañeros”) la búsqueda de “la construcción de una nueva posibilidad, de una nueva patria”, tal como afirma la activista política invitada. El compartir proyectos políticos, valores morales y emociones valoradas positivamente permite ir consolidando un sentido de pertenencia. </w:t>
      </w:r>
    </w:p>
    <w:p w:rsidR="00A76184" w:rsidRDefault="00524227" w:rsidP="00524227">
      <w:pPr>
        <w:spacing w:line="276" w:lineRule="auto"/>
        <w:jc w:val="both"/>
        <w:rPr>
          <w:rFonts w:cstheme="minorHAnsi"/>
        </w:rPr>
      </w:pPr>
      <w:r w:rsidRPr="00524227">
        <w:rPr>
          <w:rFonts w:cstheme="minorHAnsi"/>
        </w:rPr>
        <w:t xml:space="preserve">En estrecha vinculación con lo ya planteado, </w:t>
      </w:r>
      <w:r w:rsidR="00B97E8A">
        <w:rPr>
          <w:rFonts w:cstheme="minorHAnsi"/>
        </w:rPr>
        <w:t xml:space="preserve">la ponencia </w:t>
      </w:r>
      <w:r w:rsidRPr="00524227">
        <w:rPr>
          <w:rFonts w:cstheme="minorHAnsi"/>
        </w:rPr>
        <w:t xml:space="preserve">tuvo por intención “documentar” (Rockwell, 1987) experiencias de politización política juvenil que permitan comprender las relaciones intergeneracionales así como las formas político-culturales en que se </w:t>
      </w:r>
      <w:r w:rsidR="007269EB">
        <w:rPr>
          <w:rFonts w:cstheme="minorHAnsi"/>
        </w:rPr>
        <w:t>desarrollan dichas experiencias, en el marco de la implementación de políticas gubernamentales. En el despliegue de dichas políticas, entonces, es posible advertir espacios de activismo en las agencias estatales, en los que se activan particulares sensibilidades políticas, se comparte un proyecto de gobierno particular (</w:t>
      </w:r>
      <w:proofErr w:type="spellStart"/>
      <w:r w:rsidR="007269EB">
        <w:rPr>
          <w:rFonts w:cstheme="minorHAnsi"/>
        </w:rPr>
        <w:t>Rocca</w:t>
      </w:r>
      <w:proofErr w:type="spellEnd"/>
      <w:r w:rsidR="007269EB">
        <w:rPr>
          <w:rFonts w:cstheme="minorHAnsi"/>
        </w:rPr>
        <w:t xml:space="preserve"> Rivarola, 2019) y una identidad política. Ahora bien, en esta ponencia mi propósito es explicar esos eventos etnográficos no ya desde la conceptualización del interés como principal motivación para la acción política</w:t>
      </w:r>
      <w:r w:rsidR="006B76C2">
        <w:rPr>
          <w:rFonts w:cstheme="minorHAnsi"/>
        </w:rPr>
        <w:t>,</w:t>
      </w:r>
      <w:r w:rsidR="007269EB">
        <w:rPr>
          <w:rFonts w:cstheme="minorHAnsi"/>
        </w:rPr>
        <w:t xml:space="preserve"> o caracterizándola como una actividad fundamentalmente instrumental e utilitaria, sino a través de las </w:t>
      </w:r>
      <w:r w:rsidR="00061D39">
        <w:rPr>
          <w:rFonts w:cstheme="minorHAnsi"/>
        </w:rPr>
        <w:t xml:space="preserve">herramientas de la antropología del parentesco </w:t>
      </w:r>
      <w:r w:rsidR="007269EB">
        <w:rPr>
          <w:rFonts w:cstheme="minorHAnsi"/>
        </w:rPr>
        <w:t>ya que permiten conceptualizar las</w:t>
      </w:r>
      <w:r w:rsidR="00061D39">
        <w:rPr>
          <w:rFonts w:cstheme="minorHAnsi"/>
        </w:rPr>
        <w:t xml:space="preserve"> </w:t>
      </w:r>
      <w:proofErr w:type="spellStart"/>
      <w:r w:rsidR="00061D39">
        <w:rPr>
          <w:rFonts w:cstheme="minorHAnsi"/>
        </w:rPr>
        <w:t>relacion</w:t>
      </w:r>
      <w:r w:rsidR="007269EB">
        <w:rPr>
          <w:rFonts w:cstheme="minorHAnsi"/>
        </w:rPr>
        <w:t>alidades</w:t>
      </w:r>
      <w:proofErr w:type="spellEnd"/>
      <w:r w:rsidR="007269EB">
        <w:rPr>
          <w:rFonts w:cstheme="minorHAnsi"/>
        </w:rPr>
        <w:t xml:space="preserve"> </w:t>
      </w:r>
      <w:r w:rsidR="00061D39">
        <w:rPr>
          <w:rFonts w:cstheme="minorHAnsi"/>
        </w:rPr>
        <w:t>que se constituyen en estos eventos etnográficos</w:t>
      </w:r>
      <w:r w:rsidR="007269EB">
        <w:rPr>
          <w:rFonts w:cstheme="minorHAnsi"/>
        </w:rPr>
        <w:t xml:space="preserve"> a partir de la puesta en acto de emociones, memorias y genealogías que acaban produciendo membresía y sujetos que se comprenden constituyendo parte de ella. </w:t>
      </w:r>
    </w:p>
    <w:p w:rsidR="003B7661" w:rsidRDefault="00524227" w:rsidP="00381066">
      <w:pPr>
        <w:spacing w:line="276" w:lineRule="auto"/>
        <w:jc w:val="both"/>
        <w:rPr>
          <w:rFonts w:cstheme="minorHAnsi"/>
        </w:rPr>
      </w:pPr>
      <w:r w:rsidRPr="00524227">
        <w:rPr>
          <w:rFonts w:cstheme="minorHAnsi"/>
        </w:rPr>
        <w:t>A su vez, la política no fabrica su propio significado si está aislada en una esfera (Borges, 2006), tal como también se sostuvo para el caso del parentesco. Es en la imbricación de ambas dimensiones en la que interesó inscribir este trabajo ya que permite arrojar luz sobre las prácticas y relaciones sociales que repercuten en una pedagogía política que es movilizada a través de acciones gubernamentales.</w:t>
      </w:r>
      <w:r w:rsidR="003B7661">
        <w:rPr>
          <w:rFonts w:cstheme="minorHAnsi"/>
        </w:rPr>
        <w:t xml:space="preserve"> Y, a su vez, e</w:t>
      </w:r>
      <w:r w:rsidR="00202D2E">
        <w:rPr>
          <w:rFonts w:cstheme="minorHAnsi"/>
        </w:rPr>
        <w:t xml:space="preserve">stas son </w:t>
      </w:r>
      <w:r w:rsidR="003B7661">
        <w:rPr>
          <w:rFonts w:cstheme="minorHAnsi"/>
        </w:rPr>
        <w:t>retroalimentada</w:t>
      </w:r>
      <w:r w:rsidR="00202D2E">
        <w:rPr>
          <w:rFonts w:cstheme="minorHAnsi"/>
        </w:rPr>
        <w:t>s</w:t>
      </w:r>
      <w:r w:rsidR="003B7661">
        <w:rPr>
          <w:rFonts w:cstheme="minorHAnsi"/>
        </w:rPr>
        <w:t xml:space="preserve"> por los y las jóvenes que se encuentran presente, que escuchan y formulan preguntas, que</w:t>
      </w:r>
      <w:r w:rsidR="003F3189">
        <w:rPr>
          <w:rFonts w:cstheme="minorHAnsi"/>
        </w:rPr>
        <w:t xml:space="preserve"> se emocionan, </w:t>
      </w:r>
      <w:r w:rsidR="003B7661">
        <w:rPr>
          <w:rFonts w:cstheme="minorHAnsi"/>
        </w:rPr>
        <w:t xml:space="preserve">reflexionan y establecen puentes entre la activista política y su activismo en sus escuelas y espacios en los que participan. </w:t>
      </w:r>
      <w:r w:rsidR="00202D2E">
        <w:rPr>
          <w:rFonts w:cstheme="minorHAnsi"/>
        </w:rPr>
        <w:t>A</w:t>
      </w:r>
      <w:r w:rsidR="003B7661">
        <w:rPr>
          <w:rFonts w:cstheme="minorHAnsi"/>
        </w:rPr>
        <w:t xml:space="preserve">l hacerlo, al compartir con otros/as sus experiencias </w:t>
      </w:r>
      <w:r w:rsidR="003F3189">
        <w:rPr>
          <w:rFonts w:cstheme="minorHAnsi"/>
        </w:rPr>
        <w:t xml:space="preserve">contribuyen al despliegue de la política gubernamental, otorgándole acentos propios –retomando la perspectiva </w:t>
      </w:r>
      <w:proofErr w:type="spellStart"/>
      <w:r w:rsidR="003F3189">
        <w:rPr>
          <w:rFonts w:cstheme="minorHAnsi"/>
        </w:rPr>
        <w:t>bajtini</w:t>
      </w:r>
      <w:r w:rsidR="000D24F1">
        <w:rPr>
          <w:rFonts w:cstheme="minorHAnsi"/>
        </w:rPr>
        <w:t>ana</w:t>
      </w:r>
      <w:proofErr w:type="spellEnd"/>
      <w:r w:rsidR="003F3189">
        <w:rPr>
          <w:rFonts w:cstheme="minorHAnsi"/>
        </w:rPr>
        <w:t xml:space="preserve">-, oriundos de sus vivencias. </w:t>
      </w: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D2DE8" w:rsidRDefault="003D2DE8" w:rsidP="00381066">
      <w:pPr>
        <w:spacing w:line="276" w:lineRule="auto"/>
        <w:jc w:val="both"/>
        <w:rPr>
          <w:rFonts w:cstheme="minorHAnsi"/>
        </w:rPr>
      </w:pPr>
    </w:p>
    <w:p w:rsidR="00381066" w:rsidRPr="00381066" w:rsidRDefault="00CC5B12" w:rsidP="00381066">
      <w:pPr>
        <w:spacing w:line="360" w:lineRule="auto"/>
        <w:jc w:val="both"/>
        <w:rPr>
          <w:rFonts w:cstheme="minorHAnsi"/>
          <w:b/>
        </w:rPr>
      </w:pPr>
      <w:r>
        <w:rPr>
          <w:rFonts w:cstheme="minorHAnsi"/>
          <w:b/>
        </w:rPr>
        <w:t>B</w:t>
      </w:r>
      <w:r w:rsidR="00381066" w:rsidRPr="00381066">
        <w:rPr>
          <w:rFonts w:cstheme="minorHAnsi"/>
          <w:b/>
        </w:rPr>
        <w:t>ibliografía</w:t>
      </w:r>
    </w:p>
    <w:p w:rsidR="00381066" w:rsidRPr="001F4D66" w:rsidRDefault="00381066" w:rsidP="00CC3DF9">
      <w:pPr>
        <w:autoSpaceDE w:val="0"/>
        <w:autoSpaceDN w:val="0"/>
        <w:adjustRightInd w:val="0"/>
        <w:spacing w:after="0" w:line="276" w:lineRule="auto"/>
        <w:ind w:left="709" w:hanging="851"/>
        <w:jc w:val="both"/>
        <w:rPr>
          <w:rFonts w:cstheme="minorHAnsi"/>
        </w:rPr>
      </w:pPr>
      <w:r w:rsidRPr="001F4D66">
        <w:rPr>
          <w:rFonts w:cstheme="minorHAnsi"/>
        </w:rPr>
        <w:t xml:space="preserve">Ahmed, S. (2015). </w:t>
      </w:r>
      <w:r w:rsidRPr="001F4D66">
        <w:rPr>
          <w:rFonts w:cstheme="minorHAnsi"/>
          <w:i/>
        </w:rPr>
        <w:t>La política cultural de las emociones</w:t>
      </w:r>
      <w:r w:rsidRPr="001F4D66">
        <w:rPr>
          <w:rFonts w:cstheme="minorHAnsi"/>
        </w:rPr>
        <w:t xml:space="preserve">. México D.F: </w:t>
      </w:r>
      <w:r w:rsidRPr="001F4D66">
        <w:rPr>
          <w:rFonts w:cstheme="minorHAnsi"/>
          <w:color w:val="010101"/>
        </w:rPr>
        <w:t>Universidad Nacional Autónoma de México, Programa Universitario de Estudios de Género.</w:t>
      </w:r>
    </w:p>
    <w:p w:rsidR="00381066" w:rsidRPr="001F4D66" w:rsidRDefault="001F4D66" w:rsidP="00CC3DF9">
      <w:pPr>
        <w:spacing w:after="0" w:line="276" w:lineRule="auto"/>
        <w:ind w:left="709" w:hanging="851"/>
        <w:jc w:val="both"/>
        <w:rPr>
          <w:rFonts w:cstheme="minorHAnsi"/>
        </w:rPr>
      </w:pPr>
      <w:r w:rsidRPr="001F4D66">
        <w:rPr>
          <w:rFonts w:cstheme="minorHAnsi"/>
        </w:rPr>
        <w:t>Austin, J</w:t>
      </w:r>
      <w:r w:rsidR="00381066" w:rsidRPr="001F4D66">
        <w:rPr>
          <w:rFonts w:cstheme="minorHAnsi"/>
        </w:rPr>
        <w:t xml:space="preserve"> L. (1982). </w:t>
      </w:r>
      <w:r w:rsidR="00381066" w:rsidRPr="001F4D66">
        <w:rPr>
          <w:rFonts w:cstheme="minorHAnsi"/>
          <w:i/>
        </w:rPr>
        <w:t>Cómo hacer cosas con palabras</w:t>
      </w:r>
      <w:r w:rsidR="00381066" w:rsidRPr="001F4D66">
        <w:rPr>
          <w:rFonts w:cstheme="minorHAnsi"/>
        </w:rPr>
        <w:t>. Buenos Aires: Paidós.</w:t>
      </w:r>
    </w:p>
    <w:p w:rsidR="00381066" w:rsidRPr="001F4D66" w:rsidRDefault="00381066" w:rsidP="00CC3DF9">
      <w:pPr>
        <w:spacing w:after="0" w:line="276" w:lineRule="auto"/>
        <w:ind w:left="709" w:hanging="851"/>
        <w:jc w:val="both"/>
        <w:rPr>
          <w:rFonts w:cstheme="minorHAnsi"/>
        </w:rPr>
      </w:pPr>
      <w:proofErr w:type="spellStart"/>
      <w:r w:rsidRPr="001F4D66">
        <w:rPr>
          <w:rFonts w:cstheme="minorHAnsi"/>
          <w:smallCaps/>
        </w:rPr>
        <w:t>B</w:t>
      </w:r>
      <w:r w:rsidRPr="001F4D66">
        <w:rPr>
          <w:rFonts w:cstheme="minorHAnsi"/>
        </w:rPr>
        <w:t>albi</w:t>
      </w:r>
      <w:proofErr w:type="spellEnd"/>
      <w:r w:rsidRPr="001F4D66">
        <w:rPr>
          <w:rFonts w:cstheme="minorHAnsi"/>
        </w:rPr>
        <w:t xml:space="preserve">, F. (2008). </w:t>
      </w:r>
      <w:r w:rsidRPr="001F4D66">
        <w:rPr>
          <w:rFonts w:cstheme="minorHAnsi"/>
          <w:i/>
        </w:rPr>
        <w:t>De Leales, Desleales y T</w:t>
      </w:r>
      <w:r w:rsidRPr="001F4D66">
        <w:rPr>
          <w:rFonts w:cstheme="minorHAnsi"/>
          <w:bCs/>
          <w:i/>
        </w:rPr>
        <w:t>raidores</w:t>
      </w:r>
      <w:r w:rsidRPr="001F4D66">
        <w:rPr>
          <w:rFonts w:cstheme="minorHAnsi"/>
          <w:i/>
        </w:rPr>
        <w:t>. Valor Moral y Concepción de Política en el Peronismo</w:t>
      </w:r>
      <w:r w:rsidRPr="001F4D66">
        <w:rPr>
          <w:rFonts w:cstheme="minorHAnsi"/>
        </w:rPr>
        <w:t>, Buenos Aires, Antropofagia.</w:t>
      </w:r>
    </w:p>
    <w:p w:rsidR="00381066" w:rsidRPr="001F4D66" w:rsidRDefault="00381066" w:rsidP="00CC3DF9">
      <w:pPr>
        <w:spacing w:after="0" w:line="276" w:lineRule="auto"/>
        <w:ind w:left="709" w:hanging="851"/>
        <w:jc w:val="both"/>
        <w:rPr>
          <w:rFonts w:cstheme="minorHAnsi"/>
        </w:rPr>
      </w:pPr>
      <w:r w:rsidRPr="001F4D66">
        <w:rPr>
          <w:rFonts w:cstheme="minorHAnsi"/>
        </w:rPr>
        <w:t xml:space="preserve">Borges, A. (2006). “O </w:t>
      </w:r>
      <w:proofErr w:type="spellStart"/>
      <w:r w:rsidRPr="001F4D66">
        <w:rPr>
          <w:rFonts w:cstheme="minorHAnsi"/>
        </w:rPr>
        <w:t>emprego</w:t>
      </w:r>
      <w:proofErr w:type="spellEnd"/>
      <w:r w:rsidRPr="001F4D66">
        <w:rPr>
          <w:rFonts w:cstheme="minorHAnsi"/>
        </w:rPr>
        <w:t xml:space="preserve"> na política e sus </w:t>
      </w:r>
      <w:proofErr w:type="spellStart"/>
      <w:r w:rsidRPr="001F4D66">
        <w:rPr>
          <w:rFonts w:cstheme="minorHAnsi"/>
        </w:rPr>
        <w:t>implicações</w:t>
      </w:r>
      <w:proofErr w:type="spellEnd"/>
      <w:r w:rsidRPr="001F4D66">
        <w:rPr>
          <w:rFonts w:cstheme="minorHAnsi"/>
        </w:rPr>
        <w:t xml:space="preserve"> teóricas para </w:t>
      </w:r>
      <w:proofErr w:type="spellStart"/>
      <w:r w:rsidRPr="001F4D66">
        <w:rPr>
          <w:rFonts w:cstheme="minorHAnsi"/>
        </w:rPr>
        <w:t>uma</w:t>
      </w:r>
      <w:proofErr w:type="spellEnd"/>
      <w:r w:rsidRPr="001F4D66">
        <w:rPr>
          <w:rFonts w:cstheme="minorHAnsi"/>
        </w:rPr>
        <w:t xml:space="preserve"> antropología da política”, </w:t>
      </w:r>
      <w:proofErr w:type="spellStart"/>
      <w:r w:rsidRPr="001F4D66">
        <w:rPr>
          <w:rFonts w:cstheme="minorHAnsi"/>
          <w:i/>
        </w:rPr>
        <w:t>Anuário</w:t>
      </w:r>
      <w:proofErr w:type="spellEnd"/>
      <w:r w:rsidRPr="001F4D66">
        <w:rPr>
          <w:rFonts w:cstheme="minorHAnsi"/>
          <w:i/>
        </w:rPr>
        <w:t xml:space="preserve"> Antropológico</w:t>
      </w:r>
      <w:r w:rsidRPr="001F4D66">
        <w:rPr>
          <w:rFonts w:cstheme="minorHAnsi"/>
        </w:rPr>
        <w:t>, 31(1) pp.91-135.</w:t>
      </w:r>
    </w:p>
    <w:p w:rsidR="00885107" w:rsidRPr="001F4D66" w:rsidRDefault="00885107" w:rsidP="00CC3DF9">
      <w:pPr>
        <w:autoSpaceDE w:val="0"/>
        <w:autoSpaceDN w:val="0"/>
        <w:adjustRightInd w:val="0"/>
        <w:spacing w:after="0" w:line="276" w:lineRule="auto"/>
        <w:ind w:left="709" w:hanging="851"/>
        <w:jc w:val="both"/>
        <w:rPr>
          <w:rFonts w:cstheme="minorHAnsi"/>
        </w:rPr>
      </w:pPr>
      <w:proofErr w:type="spellStart"/>
      <w:r w:rsidRPr="001F4D66">
        <w:rPr>
          <w:rFonts w:cstheme="minorHAnsi"/>
        </w:rPr>
        <w:t>Borobia</w:t>
      </w:r>
      <w:proofErr w:type="spellEnd"/>
      <w:r w:rsidRPr="001F4D66">
        <w:rPr>
          <w:rFonts w:cstheme="minorHAnsi"/>
        </w:rPr>
        <w:t>, R</w:t>
      </w:r>
      <w:r w:rsidR="001F4D66" w:rsidRPr="001F4D66">
        <w:rPr>
          <w:rFonts w:cstheme="minorHAnsi"/>
        </w:rPr>
        <w:t>.</w:t>
      </w:r>
      <w:r w:rsidRPr="001F4D66">
        <w:rPr>
          <w:rFonts w:cstheme="minorHAnsi"/>
        </w:rPr>
        <w:t xml:space="preserve">; </w:t>
      </w:r>
      <w:proofErr w:type="spellStart"/>
      <w:r w:rsidRPr="001F4D66">
        <w:rPr>
          <w:rFonts w:cstheme="minorHAnsi"/>
        </w:rPr>
        <w:t>Kropff</w:t>
      </w:r>
      <w:proofErr w:type="spellEnd"/>
      <w:r w:rsidRPr="001F4D66">
        <w:rPr>
          <w:rFonts w:cstheme="minorHAnsi"/>
        </w:rPr>
        <w:t>, L</w:t>
      </w:r>
      <w:r w:rsidR="001F4D66" w:rsidRPr="001F4D66">
        <w:rPr>
          <w:rFonts w:cstheme="minorHAnsi"/>
        </w:rPr>
        <w:t>.</w:t>
      </w:r>
      <w:r w:rsidRPr="001F4D66">
        <w:rPr>
          <w:rFonts w:cstheme="minorHAnsi"/>
        </w:rPr>
        <w:t xml:space="preserve"> y Núñez, P. (</w:t>
      </w:r>
      <w:proofErr w:type="spellStart"/>
      <w:r w:rsidRPr="001F4D66">
        <w:rPr>
          <w:rFonts w:cstheme="minorHAnsi"/>
        </w:rPr>
        <w:t>Comps</w:t>
      </w:r>
      <w:proofErr w:type="spellEnd"/>
      <w:r w:rsidRPr="001F4D66">
        <w:rPr>
          <w:rFonts w:cstheme="minorHAnsi"/>
        </w:rPr>
        <w:t xml:space="preserve">.). (2013). </w:t>
      </w:r>
      <w:r w:rsidRPr="001F4D66">
        <w:rPr>
          <w:rFonts w:cstheme="minorHAnsi"/>
          <w:i/>
        </w:rPr>
        <w:t>Juventud y participación política. Más allá de la sorpresa</w:t>
      </w:r>
      <w:r w:rsidRPr="001F4D66">
        <w:rPr>
          <w:rFonts w:cstheme="minorHAnsi"/>
        </w:rPr>
        <w:t>. Buenos Aires: Centro de Publicaciones Educativas y Material Didáctico.</w:t>
      </w:r>
    </w:p>
    <w:p w:rsidR="00381066" w:rsidRPr="001F4D66" w:rsidRDefault="00381066" w:rsidP="00CC3DF9">
      <w:pPr>
        <w:autoSpaceDE w:val="0"/>
        <w:autoSpaceDN w:val="0"/>
        <w:adjustRightInd w:val="0"/>
        <w:spacing w:after="0" w:line="276" w:lineRule="auto"/>
        <w:ind w:left="709" w:hanging="851"/>
        <w:jc w:val="both"/>
        <w:rPr>
          <w:rFonts w:cstheme="minorHAnsi"/>
        </w:rPr>
      </w:pPr>
      <w:r w:rsidRPr="001F4D66">
        <w:rPr>
          <w:rFonts w:cstheme="minorHAnsi"/>
        </w:rPr>
        <w:t xml:space="preserve">Bourdieu, Pierre. (2002). “La ‘juventud’ no es más que una palabra”, en </w:t>
      </w:r>
      <w:r w:rsidRPr="001F4D66">
        <w:rPr>
          <w:rFonts w:cstheme="minorHAnsi"/>
          <w:i/>
          <w:iCs/>
        </w:rPr>
        <w:t>Sociología y cultura</w:t>
      </w:r>
      <w:r w:rsidRPr="001F4D66">
        <w:rPr>
          <w:rFonts w:cstheme="minorHAnsi"/>
        </w:rPr>
        <w:t>. México: Grijalbo.</w:t>
      </w:r>
    </w:p>
    <w:p w:rsidR="00381066" w:rsidRPr="001F4D66" w:rsidRDefault="001F4D66" w:rsidP="00CC3DF9">
      <w:pPr>
        <w:autoSpaceDE w:val="0"/>
        <w:autoSpaceDN w:val="0"/>
        <w:adjustRightInd w:val="0"/>
        <w:spacing w:after="0" w:line="276" w:lineRule="auto"/>
        <w:ind w:left="709" w:hanging="851"/>
        <w:jc w:val="both"/>
        <w:rPr>
          <w:rFonts w:cstheme="minorHAnsi"/>
          <w:lang w:val="en-US"/>
        </w:rPr>
      </w:pPr>
      <w:r w:rsidRPr="001F4D66">
        <w:rPr>
          <w:rFonts w:cstheme="minorHAnsi"/>
        </w:rPr>
        <w:t>Briones, C</w:t>
      </w:r>
      <w:r w:rsidR="00381066" w:rsidRPr="001F4D66">
        <w:rPr>
          <w:rFonts w:cstheme="minorHAnsi"/>
        </w:rPr>
        <w:t xml:space="preserve"> y Ramos, AM. (2016). “Agenciando formas de </w:t>
      </w:r>
      <w:r w:rsidR="00381066" w:rsidRPr="001F4D66">
        <w:rPr>
          <w:rFonts w:cstheme="minorHAnsi"/>
          <w:i/>
          <w:iCs/>
        </w:rPr>
        <w:t xml:space="preserve">ser juntos </w:t>
      </w:r>
      <w:r w:rsidR="00381066" w:rsidRPr="001F4D66">
        <w:rPr>
          <w:rFonts w:cstheme="minorHAnsi"/>
        </w:rPr>
        <w:t xml:space="preserve">en contextos interculturales: anudamientos de memoria, parentesco y política”, en: </w:t>
      </w:r>
      <w:r w:rsidRPr="001F4D66">
        <w:rPr>
          <w:rFonts w:cstheme="minorHAnsi"/>
        </w:rPr>
        <w:t>C.</w:t>
      </w:r>
      <w:r w:rsidR="00381066" w:rsidRPr="001F4D66">
        <w:rPr>
          <w:rFonts w:cstheme="minorHAnsi"/>
        </w:rPr>
        <w:t xml:space="preserve"> Briones y A M Ramos (Eds.), </w:t>
      </w:r>
      <w:r w:rsidR="00381066" w:rsidRPr="001F4D66">
        <w:rPr>
          <w:rFonts w:cstheme="minorHAnsi"/>
          <w:i/>
        </w:rPr>
        <w:t>Parentesco y política: topologías indígenas en la Patagonia</w:t>
      </w:r>
      <w:r w:rsidR="00381066" w:rsidRPr="001F4D66">
        <w:rPr>
          <w:rFonts w:cstheme="minorHAnsi"/>
        </w:rPr>
        <w:t xml:space="preserve">, Viedma: Universidad Nacional de Río Negro. </w:t>
      </w:r>
      <w:r w:rsidR="00381066" w:rsidRPr="001F4D66">
        <w:rPr>
          <w:rFonts w:cstheme="minorHAnsi"/>
          <w:lang w:val="en-US"/>
        </w:rPr>
        <w:t>Pp. 11-52.</w:t>
      </w:r>
    </w:p>
    <w:p w:rsidR="00381066" w:rsidRPr="001F4D66" w:rsidRDefault="001F4D66" w:rsidP="00CC3DF9">
      <w:pPr>
        <w:pStyle w:val="Default"/>
        <w:spacing w:line="276" w:lineRule="auto"/>
        <w:ind w:left="709" w:hanging="851"/>
        <w:jc w:val="both"/>
        <w:rPr>
          <w:rFonts w:asciiTheme="minorHAnsi" w:hAnsiTheme="minorHAnsi" w:cstheme="minorHAnsi"/>
          <w:sz w:val="22"/>
          <w:szCs w:val="22"/>
          <w:lang w:val="en-US"/>
        </w:rPr>
      </w:pPr>
      <w:proofErr w:type="spellStart"/>
      <w:r w:rsidRPr="001F4D66">
        <w:rPr>
          <w:rFonts w:asciiTheme="minorHAnsi" w:hAnsiTheme="minorHAnsi" w:cstheme="minorHAnsi"/>
          <w:sz w:val="22"/>
          <w:szCs w:val="22"/>
          <w:lang w:val="en-US"/>
        </w:rPr>
        <w:t>Carsten</w:t>
      </w:r>
      <w:proofErr w:type="spellEnd"/>
      <w:r w:rsidRPr="001F4D66">
        <w:rPr>
          <w:rFonts w:asciiTheme="minorHAnsi" w:hAnsiTheme="minorHAnsi" w:cstheme="minorHAnsi"/>
          <w:sz w:val="22"/>
          <w:szCs w:val="22"/>
          <w:lang w:val="en-US"/>
        </w:rPr>
        <w:t>, J</w:t>
      </w:r>
      <w:r w:rsidR="00381066" w:rsidRPr="001F4D66">
        <w:rPr>
          <w:rFonts w:asciiTheme="minorHAnsi" w:hAnsiTheme="minorHAnsi" w:cstheme="minorHAnsi"/>
          <w:sz w:val="22"/>
          <w:szCs w:val="22"/>
          <w:lang w:val="en-US"/>
        </w:rPr>
        <w:t xml:space="preserve">. (Ed.) (2000). Introduction: Culture of relatedness. En </w:t>
      </w:r>
      <w:r w:rsidR="00381066" w:rsidRPr="001F4D66">
        <w:rPr>
          <w:rFonts w:asciiTheme="minorHAnsi" w:hAnsiTheme="minorHAnsi" w:cstheme="minorHAnsi"/>
          <w:i/>
          <w:iCs/>
          <w:sz w:val="22"/>
          <w:szCs w:val="22"/>
          <w:lang w:val="en-US"/>
        </w:rPr>
        <w:t xml:space="preserve">Cultures of relatedness: new approaches to the study of kinship </w:t>
      </w:r>
      <w:r w:rsidR="00381066" w:rsidRPr="001F4D66">
        <w:rPr>
          <w:rFonts w:asciiTheme="minorHAnsi" w:hAnsiTheme="minorHAnsi" w:cstheme="minorHAnsi"/>
          <w:sz w:val="22"/>
          <w:szCs w:val="22"/>
          <w:lang w:val="en-US"/>
        </w:rPr>
        <w:t xml:space="preserve">(pp. 1-36). Cambridge: Cambridge University Press. </w:t>
      </w:r>
    </w:p>
    <w:p w:rsidR="00381066" w:rsidRPr="001F4D66" w:rsidRDefault="00381066" w:rsidP="00CC3DF9">
      <w:pPr>
        <w:pStyle w:val="Default"/>
        <w:spacing w:line="276" w:lineRule="auto"/>
        <w:ind w:left="709" w:hanging="851"/>
        <w:jc w:val="both"/>
        <w:rPr>
          <w:rFonts w:asciiTheme="minorHAnsi" w:hAnsiTheme="minorHAnsi" w:cstheme="minorHAnsi"/>
          <w:sz w:val="22"/>
          <w:szCs w:val="22"/>
          <w:lang w:val="en-US"/>
        </w:rPr>
      </w:pPr>
      <w:r w:rsidRPr="001F4D66">
        <w:rPr>
          <w:rFonts w:asciiTheme="minorHAnsi" w:hAnsiTheme="minorHAnsi" w:cstheme="minorHAnsi"/>
          <w:sz w:val="22"/>
          <w:szCs w:val="22"/>
          <w:lang w:val="en-US"/>
        </w:rPr>
        <w:t xml:space="preserve">(2004). </w:t>
      </w:r>
      <w:proofErr w:type="gramStart"/>
      <w:r w:rsidRPr="001F4D66">
        <w:rPr>
          <w:rFonts w:asciiTheme="minorHAnsi" w:hAnsiTheme="minorHAnsi" w:cstheme="minorHAnsi"/>
          <w:i/>
          <w:iCs/>
          <w:sz w:val="22"/>
          <w:szCs w:val="22"/>
          <w:lang w:val="en-US"/>
        </w:rPr>
        <w:t>After</w:t>
      </w:r>
      <w:proofErr w:type="gramEnd"/>
      <w:r w:rsidRPr="001F4D66">
        <w:rPr>
          <w:rFonts w:asciiTheme="minorHAnsi" w:hAnsiTheme="minorHAnsi" w:cstheme="minorHAnsi"/>
          <w:i/>
          <w:iCs/>
          <w:sz w:val="22"/>
          <w:szCs w:val="22"/>
          <w:lang w:val="en-US"/>
        </w:rPr>
        <w:t xml:space="preserve"> kinship</w:t>
      </w:r>
      <w:r w:rsidRPr="001F4D66">
        <w:rPr>
          <w:rFonts w:asciiTheme="minorHAnsi" w:hAnsiTheme="minorHAnsi" w:cstheme="minorHAnsi"/>
          <w:sz w:val="22"/>
          <w:szCs w:val="22"/>
          <w:lang w:val="en-US"/>
        </w:rPr>
        <w:t xml:space="preserve">. Cambridge: Cambridge University Press. </w:t>
      </w:r>
    </w:p>
    <w:p w:rsidR="00381066" w:rsidRPr="001F4D66" w:rsidRDefault="00381066" w:rsidP="00CC3DF9">
      <w:pPr>
        <w:spacing w:after="0" w:line="276" w:lineRule="auto"/>
        <w:ind w:left="709" w:hanging="851"/>
        <w:jc w:val="both"/>
        <w:rPr>
          <w:rFonts w:cstheme="minorHAnsi"/>
        </w:rPr>
      </w:pPr>
      <w:r w:rsidRPr="001F4D66">
        <w:rPr>
          <w:rFonts w:cstheme="minorHAnsi"/>
        </w:rPr>
        <w:t>Evans-</w:t>
      </w:r>
      <w:proofErr w:type="spellStart"/>
      <w:r w:rsidRPr="001F4D66">
        <w:rPr>
          <w:rFonts w:cstheme="minorHAnsi"/>
        </w:rPr>
        <w:t>Pritchard</w:t>
      </w:r>
      <w:proofErr w:type="spellEnd"/>
      <w:r w:rsidRPr="001F4D66">
        <w:rPr>
          <w:rFonts w:cstheme="minorHAnsi"/>
        </w:rPr>
        <w:t>, E</w:t>
      </w:r>
      <w:r w:rsidR="001F4D66" w:rsidRPr="001F4D66">
        <w:rPr>
          <w:rFonts w:cstheme="minorHAnsi"/>
        </w:rPr>
        <w:t>.</w:t>
      </w:r>
      <w:r w:rsidRPr="001F4D66">
        <w:rPr>
          <w:rFonts w:cstheme="minorHAnsi"/>
        </w:rPr>
        <w:t xml:space="preserve"> E. (1987). </w:t>
      </w:r>
      <w:r w:rsidRPr="001F4D66">
        <w:rPr>
          <w:rFonts w:cstheme="minorHAnsi"/>
          <w:i/>
          <w:iCs/>
        </w:rPr>
        <w:t xml:space="preserve">Los </w:t>
      </w:r>
      <w:proofErr w:type="spellStart"/>
      <w:r w:rsidRPr="001F4D66">
        <w:rPr>
          <w:rFonts w:cstheme="minorHAnsi"/>
          <w:i/>
          <w:iCs/>
        </w:rPr>
        <w:t>Nuer</w:t>
      </w:r>
      <w:proofErr w:type="spellEnd"/>
      <w:r w:rsidRPr="001F4D66">
        <w:rPr>
          <w:rFonts w:cstheme="minorHAnsi"/>
        </w:rPr>
        <w:t>. Madrid: Anagrama.</w:t>
      </w:r>
    </w:p>
    <w:p w:rsidR="00381066" w:rsidRPr="001F4D66" w:rsidRDefault="00381066" w:rsidP="00CC3DF9">
      <w:pPr>
        <w:autoSpaceDE w:val="0"/>
        <w:autoSpaceDN w:val="0"/>
        <w:adjustRightInd w:val="0"/>
        <w:spacing w:after="0" w:line="276" w:lineRule="auto"/>
        <w:ind w:left="709" w:hanging="851"/>
        <w:jc w:val="both"/>
        <w:rPr>
          <w:rFonts w:cstheme="minorHAnsi"/>
          <w:i/>
          <w:iCs/>
        </w:rPr>
      </w:pPr>
      <w:r w:rsidRPr="001F4D66">
        <w:rPr>
          <w:rFonts w:cstheme="minorHAnsi"/>
        </w:rPr>
        <w:t xml:space="preserve">Fonseca, C (2003). “De afinidades a </w:t>
      </w:r>
      <w:proofErr w:type="spellStart"/>
      <w:r w:rsidRPr="001F4D66">
        <w:rPr>
          <w:rFonts w:cstheme="minorHAnsi"/>
        </w:rPr>
        <w:t>coalizões</w:t>
      </w:r>
      <w:proofErr w:type="spellEnd"/>
      <w:r w:rsidRPr="001F4D66">
        <w:rPr>
          <w:rFonts w:cstheme="minorHAnsi"/>
        </w:rPr>
        <w:t xml:space="preserve">: </w:t>
      </w:r>
      <w:proofErr w:type="spellStart"/>
      <w:r w:rsidRPr="001F4D66">
        <w:rPr>
          <w:rFonts w:cstheme="minorHAnsi"/>
        </w:rPr>
        <w:t>uma</w:t>
      </w:r>
      <w:proofErr w:type="spellEnd"/>
      <w:r w:rsidRPr="001F4D66">
        <w:rPr>
          <w:rFonts w:cstheme="minorHAnsi"/>
        </w:rPr>
        <w:t xml:space="preserve"> </w:t>
      </w:r>
      <w:proofErr w:type="spellStart"/>
      <w:r w:rsidRPr="001F4D66">
        <w:rPr>
          <w:rFonts w:cstheme="minorHAnsi"/>
        </w:rPr>
        <w:t>reflexão</w:t>
      </w:r>
      <w:proofErr w:type="spellEnd"/>
      <w:r w:rsidRPr="001F4D66">
        <w:rPr>
          <w:rFonts w:cstheme="minorHAnsi"/>
        </w:rPr>
        <w:t xml:space="preserve"> sobre </w:t>
      </w:r>
      <w:r w:rsidRPr="001F4D66">
        <w:rPr>
          <w:rFonts w:cstheme="minorHAnsi"/>
          <w:bCs/>
        </w:rPr>
        <w:t xml:space="preserve">a </w:t>
      </w:r>
      <w:r w:rsidRPr="001F4D66">
        <w:rPr>
          <w:rFonts w:cstheme="minorHAnsi"/>
        </w:rPr>
        <w:t>"</w:t>
      </w:r>
      <w:proofErr w:type="spellStart"/>
      <w:r w:rsidRPr="001F4D66">
        <w:rPr>
          <w:rFonts w:cstheme="minorHAnsi"/>
        </w:rPr>
        <w:t>transpolinização</w:t>
      </w:r>
      <w:proofErr w:type="spellEnd"/>
      <w:r w:rsidRPr="001F4D66">
        <w:rPr>
          <w:rFonts w:cstheme="minorHAnsi"/>
        </w:rPr>
        <w:t xml:space="preserve">" entre </w:t>
      </w:r>
      <w:proofErr w:type="spellStart"/>
      <w:r w:rsidRPr="001F4D66">
        <w:rPr>
          <w:rFonts w:cstheme="minorHAnsi"/>
        </w:rPr>
        <w:t>gênero</w:t>
      </w:r>
      <w:proofErr w:type="spellEnd"/>
      <w:r w:rsidRPr="001F4D66">
        <w:rPr>
          <w:rFonts w:cstheme="minorHAnsi"/>
        </w:rPr>
        <w:t xml:space="preserve"> e parentesco </w:t>
      </w:r>
      <w:proofErr w:type="spellStart"/>
      <w:r w:rsidRPr="001F4D66">
        <w:rPr>
          <w:rFonts w:cstheme="minorHAnsi"/>
        </w:rPr>
        <w:t>em</w:t>
      </w:r>
      <w:proofErr w:type="spellEnd"/>
      <w:r w:rsidRPr="001F4D66">
        <w:rPr>
          <w:rFonts w:cstheme="minorHAnsi"/>
        </w:rPr>
        <w:t xml:space="preserve"> décadas </w:t>
      </w:r>
      <w:proofErr w:type="spellStart"/>
      <w:r w:rsidRPr="001F4D66">
        <w:rPr>
          <w:rFonts w:cstheme="minorHAnsi"/>
        </w:rPr>
        <w:t>recentes</w:t>
      </w:r>
      <w:proofErr w:type="spellEnd"/>
      <w:r w:rsidRPr="001F4D66">
        <w:rPr>
          <w:rFonts w:cstheme="minorHAnsi"/>
        </w:rPr>
        <w:t xml:space="preserve"> da antropología”, </w:t>
      </w:r>
      <w:r w:rsidRPr="001F4D66">
        <w:rPr>
          <w:rFonts w:cstheme="minorHAnsi"/>
          <w:i/>
        </w:rPr>
        <w:t>ILHA</w:t>
      </w:r>
      <w:r w:rsidRPr="001F4D66">
        <w:rPr>
          <w:rFonts w:cstheme="minorHAnsi"/>
        </w:rPr>
        <w:t xml:space="preserve">, </w:t>
      </w:r>
      <w:r w:rsidRPr="001F4D66">
        <w:rPr>
          <w:rFonts w:cstheme="minorHAnsi"/>
          <w:i/>
          <w:iCs/>
        </w:rPr>
        <w:t>5(2): 5-31.</w:t>
      </w:r>
    </w:p>
    <w:p w:rsidR="00885107" w:rsidRDefault="00885107" w:rsidP="00CC3DF9">
      <w:pPr>
        <w:autoSpaceDE w:val="0"/>
        <w:autoSpaceDN w:val="0"/>
        <w:adjustRightInd w:val="0"/>
        <w:spacing w:after="0" w:line="276" w:lineRule="auto"/>
        <w:ind w:left="709" w:hanging="851"/>
        <w:jc w:val="both"/>
        <w:rPr>
          <w:rFonts w:cstheme="minorHAnsi"/>
        </w:rPr>
      </w:pPr>
      <w:proofErr w:type="spellStart"/>
      <w:r w:rsidRPr="001F4D66">
        <w:rPr>
          <w:rFonts w:cstheme="minorHAnsi"/>
        </w:rPr>
        <w:t>Gaztañ</w:t>
      </w:r>
      <w:r w:rsidR="001F4D66" w:rsidRPr="001F4D66">
        <w:rPr>
          <w:rFonts w:cstheme="minorHAnsi"/>
        </w:rPr>
        <w:t>aga</w:t>
      </w:r>
      <w:proofErr w:type="spellEnd"/>
      <w:r w:rsidR="001F4D66" w:rsidRPr="001F4D66">
        <w:rPr>
          <w:rFonts w:cstheme="minorHAnsi"/>
        </w:rPr>
        <w:t>, J</w:t>
      </w:r>
      <w:r w:rsidRPr="001F4D66">
        <w:rPr>
          <w:rFonts w:cstheme="minorHAnsi"/>
        </w:rPr>
        <w:t>; Piñ</w:t>
      </w:r>
      <w:r w:rsidR="001F4D66" w:rsidRPr="001F4D66">
        <w:rPr>
          <w:rFonts w:cstheme="minorHAnsi"/>
        </w:rPr>
        <w:t>eiro Carreras, J y Ferrero, L.</w:t>
      </w:r>
      <w:r w:rsidRPr="001F4D66">
        <w:rPr>
          <w:rFonts w:cstheme="minorHAnsi"/>
        </w:rPr>
        <w:t xml:space="preserve"> (2016). </w:t>
      </w:r>
      <w:r w:rsidR="001F4D66">
        <w:rPr>
          <w:rFonts w:cstheme="minorHAnsi"/>
        </w:rPr>
        <w:t>“</w:t>
      </w:r>
      <w:r w:rsidRPr="001F4D66">
        <w:rPr>
          <w:rFonts w:cstheme="minorHAnsi"/>
        </w:rPr>
        <w:t xml:space="preserve">Afectos y efectos de Estado: procesos políticos en torno de la creación de infraestructura, planificación urbana y </w:t>
      </w:r>
      <w:proofErr w:type="spellStart"/>
      <w:r w:rsidRPr="001F4D66">
        <w:rPr>
          <w:rFonts w:cstheme="minorHAnsi"/>
        </w:rPr>
        <w:t>turistificación</w:t>
      </w:r>
      <w:proofErr w:type="spellEnd"/>
      <w:r w:rsidR="001F4D66">
        <w:rPr>
          <w:rFonts w:cstheme="minorHAnsi"/>
        </w:rPr>
        <w:t>”</w:t>
      </w:r>
      <w:r w:rsidRPr="001F4D66">
        <w:rPr>
          <w:rFonts w:cstheme="minorHAnsi"/>
        </w:rPr>
        <w:t xml:space="preserve">, </w:t>
      </w:r>
      <w:r w:rsidRPr="001F4D66">
        <w:rPr>
          <w:rFonts w:cstheme="minorHAnsi"/>
          <w:i/>
          <w:iCs/>
        </w:rPr>
        <w:t>Estudios Sociales del Estado</w:t>
      </w:r>
      <w:r w:rsidRPr="001F4D66">
        <w:rPr>
          <w:rFonts w:cstheme="minorHAnsi"/>
        </w:rPr>
        <w:t>, 2(3): 125-153.</w:t>
      </w:r>
    </w:p>
    <w:p w:rsidR="00941B01" w:rsidRPr="00941B01" w:rsidRDefault="00941B01" w:rsidP="00CC3DF9">
      <w:pPr>
        <w:autoSpaceDE w:val="0"/>
        <w:autoSpaceDN w:val="0"/>
        <w:adjustRightInd w:val="0"/>
        <w:spacing w:after="0" w:line="276" w:lineRule="auto"/>
        <w:ind w:left="709" w:hanging="851"/>
        <w:jc w:val="both"/>
        <w:rPr>
          <w:rFonts w:cstheme="minorHAnsi"/>
        </w:rPr>
      </w:pPr>
      <w:proofErr w:type="spellStart"/>
      <w:r w:rsidRPr="00941B01">
        <w:rPr>
          <w:rFonts w:cstheme="minorHAnsi"/>
        </w:rPr>
        <w:t>Giorgetti</w:t>
      </w:r>
      <w:proofErr w:type="spellEnd"/>
      <w:r w:rsidRPr="00941B01">
        <w:rPr>
          <w:rFonts w:cstheme="minorHAnsi"/>
        </w:rPr>
        <w:t xml:space="preserve">, D. A. </w:t>
      </w:r>
      <w:r w:rsidRPr="00941B01">
        <w:rPr>
          <w:rFonts w:cstheme="minorHAnsi"/>
          <w:color w:val="231F20"/>
        </w:rPr>
        <w:t xml:space="preserve">(2020) </w:t>
      </w:r>
      <w:r w:rsidRPr="00941B01">
        <w:rPr>
          <w:rFonts w:cstheme="minorHAnsi"/>
          <w:i/>
        </w:rPr>
        <w:t>Participación juvenil en movimientos sociales urbanos de la Argentina contemporánea</w:t>
      </w:r>
      <w:r w:rsidRPr="00941B01">
        <w:rPr>
          <w:rFonts w:cstheme="minorHAnsi"/>
        </w:rPr>
        <w:t xml:space="preserve">. Ciudad Autónoma de Buenos Aires: </w:t>
      </w:r>
      <w:proofErr w:type="spellStart"/>
      <w:r w:rsidRPr="00941B01">
        <w:rPr>
          <w:rFonts w:cstheme="minorHAnsi"/>
        </w:rPr>
        <w:t>Tesseo</w:t>
      </w:r>
      <w:proofErr w:type="spellEnd"/>
      <w:r w:rsidRPr="00941B01">
        <w:rPr>
          <w:rFonts w:cstheme="minorHAnsi"/>
        </w:rPr>
        <w:t xml:space="preserve"> </w:t>
      </w:r>
      <w:proofErr w:type="spellStart"/>
      <w:r w:rsidRPr="00941B01">
        <w:rPr>
          <w:rFonts w:cstheme="minorHAnsi"/>
        </w:rPr>
        <w:t>Press</w:t>
      </w:r>
      <w:proofErr w:type="spellEnd"/>
      <w:r w:rsidRPr="00941B01">
        <w:rPr>
          <w:rFonts w:cstheme="minorHAnsi"/>
        </w:rPr>
        <w:t>.</w:t>
      </w:r>
    </w:p>
    <w:p w:rsidR="00381066" w:rsidRPr="001F4D66" w:rsidRDefault="001F4D66" w:rsidP="00CC3DF9">
      <w:pPr>
        <w:spacing w:after="0" w:line="276" w:lineRule="auto"/>
        <w:ind w:left="709" w:hanging="851"/>
        <w:jc w:val="both"/>
        <w:rPr>
          <w:rFonts w:cstheme="minorHAnsi"/>
        </w:rPr>
      </w:pPr>
      <w:proofErr w:type="spellStart"/>
      <w:r w:rsidRPr="001F4D66">
        <w:rPr>
          <w:rFonts w:cstheme="minorHAnsi"/>
        </w:rPr>
        <w:t>Guglielmucci</w:t>
      </w:r>
      <w:proofErr w:type="spellEnd"/>
      <w:r w:rsidRPr="001F4D66">
        <w:rPr>
          <w:rFonts w:cstheme="minorHAnsi"/>
        </w:rPr>
        <w:t>, A</w:t>
      </w:r>
      <w:r>
        <w:rPr>
          <w:rFonts w:cstheme="minorHAnsi"/>
        </w:rPr>
        <w:t>. (2</w:t>
      </w:r>
      <w:r w:rsidR="00381066" w:rsidRPr="001F4D66">
        <w:rPr>
          <w:rFonts w:cstheme="minorHAnsi"/>
        </w:rPr>
        <w:t xml:space="preserve">013). </w:t>
      </w:r>
      <w:r w:rsidR="00381066" w:rsidRPr="001F4D66">
        <w:rPr>
          <w:rFonts w:cstheme="minorHAnsi"/>
          <w:i/>
        </w:rPr>
        <w:t>La consagración de la memoria. Una etnografía acerca de la institucionalización del recuerdo sobre los crímenes del terrorismo de Estado en la Argentina</w:t>
      </w:r>
      <w:r w:rsidR="00381066" w:rsidRPr="001F4D66">
        <w:rPr>
          <w:rFonts w:cstheme="minorHAnsi"/>
        </w:rPr>
        <w:t>, Buenos Aires: Antropofagia.</w:t>
      </w:r>
    </w:p>
    <w:p w:rsidR="00381066" w:rsidRPr="001F4D66" w:rsidRDefault="001F4D66" w:rsidP="00CC3DF9">
      <w:pPr>
        <w:spacing w:after="0" w:line="276" w:lineRule="auto"/>
        <w:ind w:left="709" w:hanging="851"/>
        <w:jc w:val="both"/>
        <w:rPr>
          <w:rFonts w:cstheme="minorHAnsi"/>
        </w:rPr>
      </w:pPr>
      <w:proofErr w:type="spellStart"/>
      <w:r w:rsidRPr="001F4D66">
        <w:rPr>
          <w:rFonts w:cstheme="minorHAnsi"/>
        </w:rPr>
        <w:t>Jelin</w:t>
      </w:r>
      <w:proofErr w:type="spellEnd"/>
      <w:r w:rsidRPr="001F4D66">
        <w:rPr>
          <w:rFonts w:cstheme="minorHAnsi"/>
        </w:rPr>
        <w:t>, E</w:t>
      </w:r>
      <w:r w:rsidR="00381066" w:rsidRPr="001F4D66">
        <w:rPr>
          <w:rFonts w:cstheme="minorHAnsi"/>
        </w:rPr>
        <w:t xml:space="preserve">. (2002). </w:t>
      </w:r>
      <w:r w:rsidR="00381066" w:rsidRPr="001F4D66">
        <w:rPr>
          <w:rFonts w:cstheme="minorHAnsi"/>
          <w:i/>
        </w:rPr>
        <w:t>Los trabajos de la memoria</w:t>
      </w:r>
      <w:r w:rsidR="00381066" w:rsidRPr="001F4D66">
        <w:rPr>
          <w:rFonts w:cstheme="minorHAnsi"/>
        </w:rPr>
        <w:t>. Madrid: Siglo XXI Editores.</w:t>
      </w:r>
    </w:p>
    <w:p w:rsidR="00381066" w:rsidRPr="001F4D66" w:rsidRDefault="001F4D66" w:rsidP="00CC3DF9">
      <w:pPr>
        <w:autoSpaceDE w:val="0"/>
        <w:autoSpaceDN w:val="0"/>
        <w:adjustRightInd w:val="0"/>
        <w:spacing w:after="0" w:line="276" w:lineRule="auto"/>
        <w:ind w:left="709" w:right="-1" w:hanging="851"/>
        <w:jc w:val="both"/>
        <w:rPr>
          <w:rFonts w:cstheme="minorHAnsi"/>
        </w:rPr>
      </w:pPr>
      <w:proofErr w:type="spellStart"/>
      <w:r w:rsidRPr="001F4D66">
        <w:rPr>
          <w:rFonts w:cstheme="minorHAnsi"/>
        </w:rPr>
        <w:t>Krieger</w:t>
      </w:r>
      <w:proofErr w:type="spellEnd"/>
      <w:r w:rsidRPr="001F4D66">
        <w:rPr>
          <w:rFonts w:cstheme="minorHAnsi"/>
        </w:rPr>
        <w:t>, M</w:t>
      </w:r>
      <w:r w:rsidR="00381066" w:rsidRPr="001F4D66">
        <w:rPr>
          <w:rFonts w:cstheme="minorHAnsi"/>
        </w:rPr>
        <w:t xml:space="preserve">. (2017). </w:t>
      </w:r>
      <w:r w:rsidR="00381066" w:rsidRPr="001F4D66">
        <w:rPr>
          <w:rFonts w:cstheme="minorHAnsi"/>
          <w:i/>
        </w:rPr>
        <w:t>El mundo entre las manos: juventud y política en la Argentina del Bicentenario</w:t>
      </w:r>
      <w:r w:rsidR="00381066" w:rsidRPr="001F4D66">
        <w:rPr>
          <w:rFonts w:cstheme="minorHAnsi"/>
        </w:rPr>
        <w:t xml:space="preserve">. La Plata: Universidad Nacional de La Plata. </w:t>
      </w:r>
    </w:p>
    <w:p w:rsidR="00381066" w:rsidRPr="001F4D66" w:rsidRDefault="001F4D66" w:rsidP="00CC3DF9">
      <w:pPr>
        <w:spacing w:after="0" w:line="276" w:lineRule="auto"/>
        <w:ind w:left="709" w:hanging="851"/>
        <w:jc w:val="both"/>
        <w:rPr>
          <w:rFonts w:cstheme="minorHAnsi"/>
        </w:rPr>
      </w:pPr>
      <w:r w:rsidRPr="001F4D66">
        <w:rPr>
          <w:rFonts w:cstheme="minorHAnsi"/>
        </w:rPr>
        <w:t>Larralde Armas, F</w:t>
      </w:r>
      <w:r w:rsidR="00381066" w:rsidRPr="001F4D66">
        <w:rPr>
          <w:rFonts w:cstheme="minorHAnsi"/>
        </w:rPr>
        <w:t xml:space="preserve">. (2018). “Representaciones de la desaparición: prácticas rituales y </w:t>
      </w:r>
      <w:proofErr w:type="spellStart"/>
      <w:r w:rsidR="00381066" w:rsidRPr="001F4D66">
        <w:rPr>
          <w:rFonts w:cstheme="minorHAnsi"/>
        </w:rPr>
        <w:t>resignificación</w:t>
      </w:r>
      <w:proofErr w:type="spellEnd"/>
      <w:r w:rsidR="00381066" w:rsidRPr="001F4D66">
        <w:rPr>
          <w:rFonts w:cstheme="minorHAnsi"/>
        </w:rPr>
        <w:t xml:space="preserve"> del Espacio para la Memoria (ex ESMA)”, </w:t>
      </w:r>
      <w:r w:rsidR="00381066" w:rsidRPr="001F4D66">
        <w:rPr>
          <w:rFonts w:cstheme="minorHAnsi"/>
          <w:i/>
        </w:rPr>
        <w:t>Miríada</w:t>
      </w:r>
      <w:r w:rsidR="00381066" w:rsidRPr="001F4D66">
        <w:rPr>
          <w:rFonts w:cstheme="minorHAnsi"/>
        </w:rPr>
        <w:t>, 10 (14), pp. 201-229.</w:t>
      </w:r>
    </w:p>
    <w:p w:rsidR="00381066" w:rsidRPr="001F4D66" w:rsidRDefault="001F4D66" w:rsidP="00CC3DF9">
      <w:pPr>
        <w:pStyle w:val="Default"/>
        <w:spacing w:line="276" w:lineRule="auto"/>
        <w:ind w:left="709" w:hanging="851"/>
        <w:jc w:val="both"/>
        <w:rPr>
          <w:rFonts w:asciiTheme="minorHAnsi" w:hAnsiTheme="minorHAnsi" w:cstheme="minorHAnsi"/>
          <w:sz w:val="22"/>
          <w:szCs w:val="22"/>
        </w:rPr>
      </w:pPr>
      <w:proofErr w:type="spellStart"/>
      <w:r w:rsidRPr="001F4D66">
        <w:rPr>
          <w:rFonts w:asciiTheme="minorHAnsi" w:hAnsiTheme="minorHAnsi" w:cstheme="minorHAnsi"/>
          <w:sz w:val="22"/>
          <w:szCs w:val="22"/>
        </w:rPr>
        <w:t>Kropff</w:t>
      </w:r>
      <w:proofErr w:type="spellEnd"/>
      <w:r w:rsidRPr="001F4D66">
        <w:rPr>
          <w:rFonts w:asciiTheme="minorHAnsi" w:hAnsiTheme="minorHAnsi" w:cstheme="minorHAnsi"/>
          <w:sz w:val="22"/>
          <w:szCs w:val="22"/>
        </w:rPr>
        <w:t>, L</w:t>
      </w:r>
      <w:r w:rsidR="00381066" w:rsidRPr="001F4D66">
        <w:rPr>
          <w:rFonts w:asciiTheme="minorHAnsi" w:hAnsiTheme="minorHAnsi" w:cstheme="minorHAnsi"/>
          <w:sz w:val="22"/>
          <w:szCs w:val="22"/>
        </w:rPr>
        <w:t xml:space="preserve">. (2009). “Apuntes conceptuales para una antropología de la edad”, </w:t>
      </w:r>
      <w:proofErr w:type="spellStart"/>
      <w:r w:rsidR="00381066" w:rsidRPr="001F4D66">
        <w:rPr>
          <w:rFonts w:asciiTheme="minorHAnsi" w:hAnsiTheme="minorHAnsi" w:cstheme="minorHAnsi"/>
          <w:i/>
          <w:sz w:val="22"/>
          <w:szCs w:val="22"/>
        </w:rPr>
        <w:t>Avá</w:t>
      </w:r>
      <w:proofErr w:type="spellEnd"/>
      <w:r w:rsidR="00381066" w:rsidRPr="001F4D66">
        <w:rPr>
          <w:rFonts w:asciiTheme="minorHAnsi" w:hAnsiTheme="minorHAnsi" w:cstheme="minorHAnsi"/>
          <w:sz w:val="22"/>
          <w:szCs w:val="22"/>
        </w:rPr>
        <w:t>, N°16: 171-187.</w:t>
      </w:r>
    </w:p>
    <w:p w:rsidR="00381066" w:rsidRPr="001F4D66" w:rsidRDefault="001F4D66" w:rsidP="00CC3DF9">
      <w:pPr>
        <w:pStyle w:val="Default"/>
        <w:spacing w:line="276" w:lineRule="auto"/>
        <w:ind w:left="709" w:hanging="851"/>
        <w:jc w:val="both"/>
        <w:rPr>
          <w:rFonts w:asciiTheme="minorHAnsi" w:hAnsiTheme="minorHAnsi" w:cstheme="minorHAnsi"/>
          <w:sz w:val="22"/>
          <w:szCs w:val="22"/>
        </w:rPr>
      </w:pPr>
      <w:r w:rsidRPr="001F4D66">
        <w:rPr>
          <w:rFonts w:asciiTheme="minorHAnsi" w:hAnsiTheme="minorHAnsi" w:cstheme="minorHAnsi"/>
          <w:sz w:val="22"/>
          <w:szCs w:val="22"/>
        </w:rPr>
        <w:t>Lazar, S</w:t>
      </w:r>
      <w:r w:rsidR="00381066" w:rsidRPr="001F4D66">
        <w:rPr>
          <w:rFonts w:asciiTheme="minorHAnsi" w:hAnsiTheme="minorHAnsi" w:cstheme="minorHAnsi"/>
          <w:sz w:val="22"/>
          <w:szCs w:val="22"/>
        </w:rPr>
        <w:t xml:space="preserve">. (2019) ¿Cómo se construye un sindicalista? </w:t>
      </w:r>
      <w:r w:rsidR="00381066" w:rsidRPr="001F4D66">
        <w:rPr>
          <w:rFonts w:asciiTheme="minorHAnsi" w:hAnsiTheme="minorHAnsi" w:cstheme="minorHAnsi"/>
          <w:i/>
          <w:iCs/>
          <w:sz w:val="22"/>
          <w:szCs w:val="22"/>
        </w:rPr>
        <w:t>Vida cotidiana, militancia y afectos en el mundo sindical</w:t>
      </w:r>
      <w:r w:rsidR="00381066" w:rsidRPr="001F4D66">
        <w:rPr>
          <w:rFonts w:asciiTheme="minorHAnsi" w:hAnsiTheme="minorHAnsi" w:cstheme="minorHAnsi"/>
          <w:sz w:val="22"/>
          <w:szCs w:val="22"/>
        </w:rPr>
        <w:t xml:space="preserve">. Ciudad de Buenos Aires: Siglo XXI. </w:t>
      </w:r>
    </w:p>
    <w:p w:rsidR="00381066" w:rsidRPr="001F4D66" w:rsidRDefault="001F4D66" w:rsidP="00CC3DF9">
      <w:pPr>
        <w:pStyle w:val="Default"/>
        <w:spacing w:line="276" w:lineRule="auto"/>
        <w:ind w:left="709" w:hanging="851"/>
        <w:jc w:val="both"/>
        <w:rPr>
          <w:rFonts w:asciiTheme="minorHAnsi" w:hAnsiTheme="minorHAnsi" w:cstheme="minorHAnsi"/>
          <w:sz w:val="22"/>
          <w:szCs w:val="22"/>
        </w:rPr>
      </w:pPr>
      <w:r w:rsidRPr="001F4D66">
        <w:rPr>
          <w:rFonts w:asciiTheme="minorHAnsi" w:hAnsiTheme="minorHAnsi" w:cstheme="minorHAnsi"/>
          <w:sz w:val="22"/>
          <w:szCs w:val="22"/>
        </w:rPr>
        <w:t>-</w:t>
      </w:r>
      <w:r w:rsidR="00381066" w:rsidRPr="001F4D66">
        <w:rPr>
          <w:rFonts w:asciiTheme="minorHAnsi" w:hAnsiTheme="minorHAnsi" w:cstheme="minorHAnsi"/>
          <w:sz w:val="22"/>
          <w:szCs w:val="22"/>
        </w:rPr>
        <w:t>(2023). “</w:t>
      </w:r>
      <w:r w:rsidR="00381066" w:rsidRPr="001F4D66">
        <w:rPr>
          <w:rFonts w:asciiTheme="minorHAnsi" w:hAnsiTheme="minorHAnsi" w:cstheme="minorHAnsi"/>
          <w:bCs/>
          <w:sz w:val="22"/>
          <w:szCs w:val="22"/>
        </w:rPr>
        <w:t xml:space="preserve">Una antropología ‘del parentesco en la política’. </w:t>
      </w:r>
      <w:r w:rsidR="00381066" w:rsidRPr="001F4D66">
        <w:rPr>
          <w:rFonts w:asciiTheme="minorHAnsi" w:hAnsiTheme="minorHAnsi" w:cstheme="minorHAnsi"/>
          <w:sz w:val="22"/>
          <w:szCs w:val="22"/>
        </w:rPr>
        <w:t xml:space="preserve">Interés, sujeto colectivo y parentesco en los sindicatos argentinos”, </w:t>
      </w:r>
      <w:r w:rsidR="00381066" w:rsidRPr="001F4D66">
        <w:rPr>
          <w:rFonts w:asciiTheme="minorHAnsi" w:hAnsiTheme="minorHAnsi" w:cstheme="minorHAnsi"/>
          <w:i/>
          <w:sz w:val="22"/>
          <w:szCs w:val="22"/>
        </w:rPr>
        <w:t>Runa</w:t>
      </w:r>
      <w:r w:rsidR="00381066" w:rsidRPr="001F4D66">
        <w:rPr>
          <w:rFonts w:asciiTheme="minorHAnsi" w:hAnsiTheme="minorHAnsi" w:cstheme="minorHAnsi"/>
          <w:sz w:val="22"/>
          <w:szCs w:val="22"/>
        </w:rPr>
        <w:t xml:space="preserve"> 44(2): 45-67.</w:t>
      </w:r>
    </w:p>
    <w:p w:rsidR="00381066" w:rsidRDefault="001F4D66" w:rsidP="00CC3DF9">
      <w:pPr>
        <w:pStyle w:val="Default"/>
        <w:spacing w:line="276" w:lineRule="auto"/>
        <w:ind w:left="709" w:hanging="851"/>
        <w:jc w:val="both"/>
        <w:rPr>
          <w:rFonts w:asciiTheme="minorHAnsi" w:hAnsiTheme="minorHAnsi" w:cstheme="minorHAnsi"/>
          <w:sz w:val="22"/>
          <w:szCs w:val="22"/>
        </w:rPr>
      </w:pPr>
      <w:proofErr w:type="spellStart"/>
      <w:r w:rsidRPr="001F4D66">
        <w:rPr>
          <w:rFonts w:asciiTheme="minorHAnsi" w:hAnsiTheme="minorHAnsi" w:cstheme="minorHAnsi"/>
          <w:sz w:val="22"/>
          <w:szCs w:val="22"/>
        </w:rPr>
        <w:t>Lévi</w:t>
      </w:r>
      <w:proofErr w:type="spellEnd"/>
      <w:r w:rsidRPr="001F4D66">
        <w:rPr>
          <w:rFonts w:asciiTheme="minorHAnsi" w:hAnsiTheme="minorHAnsi" w:cstheme="minorHAnsi"/>
          <w:sz w:val="22"/>
          <w:szCs w:val="22"/>
        </w:rPr>
        <w:t>-Strauss, C</w:t>
      </w:r>
      <w:r w:rsidR="00381066" w:rsidRPr="001F4D66">
        <w:rPr>
          <w:rFonts w:asciiTheme="minorHAnsi" w:hAnsiTheme="minorHAnsi" w:cstheme="minorHAnsi"/>
          <w:sz w:val="22"/>
          <w:szCs w:val="22"/>
        </w:rPr>
        <w:t xml:space="preserve">. (1997). “La organización social de los </w:t>
      </w:r>
      <w:proofErr w:type="spellStart"/>
      <w:r w:rsidR="00381066" w:rsidRPr="001F4D66">
        <w:rPr>
          <w:rFonts w:asciiTheme="minorHAnsi" w:hAnsiTheme="minorHAnsi" w:cstheme="minorHAnsi"/>
          <w:sz w:val="22"/>
          <w:szCs w:val="22"/>
        </w:rPr>
        <w:t>kwakiutl</w:t>
      </w:r>
      <w:proofErr w:type="spellEnd"/>
      <w:r w:rsidR="00381066" w:rsidRPr="001F4D66">
        <w:rPr>
          <w:rFonts w:asciiTheme="minorHAnsi" w:hAnsiTheme="minorHAnsi" w:cstheme="minorHAnsi"/>
          <w:sz w:val="22"/>
          <w:szCs w:val="22"/>
        </w:rPr>
        <w:t xml:space="preserve">”, </w:t>
      </w:r>
      <w:r w:rsidR="00381066" w:rsidRPr="001F4D66">
        <w:rPr>
          <w:rFonts w:asciiTheme="minorHAnsi" w:hAnsiTheme="minorHAnsi" w:cstheme="minorHAnsi"/>
          <w:i/>
          <w:sz w:val="22"/>
          <w:szCs w:val="22"/>
        </w:rPr>
        <w:t xml:space="preserve">La vía de las </w:t>
      </w:r>
      <w:proofErr w:type="spellStart"/>
      <w:r w:rsidR="00381066" w:rsidRPr="001F4D66">
        <w:rPr>
          <w:rFonts w:asciiTheme="minorHAnsi" w:hAnsiTheme="minorHAnsi" w:cstheme="minorHAnsi"/>
          <w:i/>
          <w:sz w:val="22"/>
          <w:szCs w:val="22"/>
        </w:rPr>
        <w:t>márcaras</w:t>
      </w:r>
      <w:proofErr w:type="spellEnd"/>
      <w:r w:rsidR="00381066" w:rsidRPr="001F4D66">
        <w:rPr>
          <w:rFonts w:asciiTheme="minorHAnsi" w:hAnsiTheme="minorHAnsi" w:cstheme="minorHAnsi"/>
          <w:sz w:val="22"/>
          <w:szCs w:val="22"/>
        </w:rPr>
        <w:t>, México: Siglo XXI, pp.140-162.</w:t>
      </w:r>
    </w:p>
    <w:p w:rsidR="002F7A63" w:rsidRPr="002F7A63" w:rsidRDefault="002F7A63" w:rsidP="00CC3DF9">
      <w:pPr>
        <w:pStyle w:val="Default"/>
        <w:spacing w:line="276" w:lineRule="auto"/>
        <w:ind w:left="709" w:hanging="851"/>
        <w:jc w:val="both"/>
        <w:rPr>
          <w:rFonts w:asciiTheme="minorHAnsi" w:hAnsiTheme="minorHAnsi" w:cstheme="minorHAnsi"/>
          <w:sz w:val="22"/>
          <w:szCs w:val="22"/>
        </w:rPr>
      </w:pPr>
      <w:proofErr w:type="spellStart"/>
      <w:r w:rsidRPr="002F7A63">
        <w:rPr>
          <w:rFonts w:asciiTheme="minorHAnsi" w:hAnsiTheme="minorHAnsi" w:cstheme="minorHAnsi"/>
          <w:sz w:val="22"/>
          <w:szCs w:val="22"/>
        </w:rPr>
        <w:t>Mannheim</w:t>
      </w:r>
      <w:proofErr w:type="spellEnd"/>
      <w:r w:rsidRPr="002F7A63">
        <w:rPr>
          <w:rFonts w:asciiTheme="minorHAnsi" w:hAnsiTheme="minorHAnsi" w:cstheme="minorHAnsi"/>
          <w:sz w:val="22"/>
          <w:szCs w:val="22"/>
        </w:rPr>
        <w:t>, K. ([1928], 1993). “El problema de las generaciones”, REIS 62: 193-242.</w:t>
      </w:r>
    </w:p>
    <w:p w:rsidR="00381066" w:rsidRPr="001F4D66" w:rsidRDefault="001F4D66" w:rsidP="00CC3DF9">
      <w:pPr>
        <w:spacing w:after="0" w:line="276" w:lineRule="auto"/>
        <w:ind w:left="709" w:hanging="851"/>
        <w:jc w:val="both"/>
        <w:rPr>
          <w:rFonts w:cstheme="minorHAnsi"/>
        </w:rPr>
      </w:pPr>
      <w:r w:rsidRPr="001F4D66">
        <w:rPr>
          <w:rFonts w:cstheme="minorHAnsi"/>
        </w:rPr>
        <w:lastRenderedPageBreak/>
        <w:t>Manzano, V</w:t>
      </w:r>
      <w:r w:rsidR="00381066" w:rsidRPr="001F4D66">
        <w:rPr>
          <w:rFonts w:cstheme="minorHAnsi"/>
        </w:rPr>
        <w:t xml:space="preserve">. (2017). </w:t>
      </w:r>
      <w:r w:rsidR="00381066" w:rsidRPr="001F4D66">
        <w:rPr>
          <w:rFonts w:cstheme="minorHAnsi"/>
          <w:i/>
        </w:rPr>
        <w:t>La era de la juventud en Argentina</w:t>
      </w:r>
      <w:r w:rsidR="00381066" w:rsidRPr="001F4D66">
        <w:rPr>
          <w:rFonts w:cstheme="minorHAnsi"/>
        </w:rPr>
        <w:t>. Buenos Aires: Fondo de Cultura económica.</w:t>
      </w:r>
    </w:p>
    <w:p w:rsidR="00885107" w:rsidRPr="001F4D66" w:rsidRDefault="001F4D66" w:rsidP="00CC3DF9">
      <w:pPr>
        <w:autoSpaceDE w:val="0"/>
        <w:autoSpaceDN w:val="0"/>
        <w:adjustRightInd w:val="0"/>
        <w:spacing w:after="0" w:line="276" w:lineRule="auto"/>
        <w:ind w:left="709" w:hanging="851"/>
        <w:jc w:val="both"/>
        <w:rPr>
          <w:rFonts w:cstheme="minorHAnsi"/>
        </w:rPr>
      </w:pPr>
      <w:r w:rsidRPr="001F4D66">
        <w:rPr>
          <w:rFonts w:cstheme="minorHAnsi"/>
        </w:rPr>
        <w:t>Manzano, V</w:t>
      </w:r>
      <w:r w:rsidR="00885107" w:rsidRPr="001F4D66">
        <w:rPr>
          <w:rFonts w:cstheme="minorHAnsi"/>
        </w:rPr>
        <w:t xml:space="preserve">. (2020). Derechos y subjetividades en la producción colectiva del Gran Buenos Aires: sobre la política de la vida (digna), </w:t>
      </w:r>
      <w:proofErr w:type="spellStart"/>
      <w:r w:rsidR="00885107" w:rsidRPr="001F4D66">
        <w:rPr>
          <w:rFonts w:cstheme="minorHAnsi"/>
          <w:i/>
          <w:iCs/>
        </w:rPr>
        <w:t>Journal</w:t>
      </w:r>
      <w:proofErr w:type="spellEnd"/>
      <w:r w:rsidR="00885107" w:rsidRPr="001F4D66">
        <w:rPr>
          <w:rFonts w:cstheme="minorHAnsi"/>
          <w:i/>
          <w:iCs/>
        </w:rPr>
        <w:t xml:space="preserve"> de Comunicación Social</w:t>
      </w:r>
      <w:r w:rsidR="00885107" w:rsidRPr="001F4D66">
        <w:rPr>
          <w:rFonts w:cstheme="minorHAnsi"/>
        </w:rPr>
        <w:t>.</w:t>
      </w:r>
    </w:p>
    <w:p w:rsidR="00381066" w:rsidRPr="008572DB" w:rsidRDefault="001F4D66" w:rsidP="00CC3DF9">
      <w:pPr>
        <w:autoSpaceDE w:val="0"/>
        <w:autoSpaceDN w:val="0"/>
        <w:adjustRightInd w:val="0"/>
        <w:spacing w:after="0" w:line="276" w:lineRule="auto"/>
        <w:ind w:left="709" w:hanging="851"/>
        <w:jc w:val="both"/>
        <w:rPr>
          <w:rFonts w:cstheme="minorHAnsi"/>
          <w:lang w:val="en-US"/>
        </w:rPr>
      </w:pPr>
      <w:proofErr w:type="spellStart"/>
      <w:r w:rsidRPr="001F4D66">
        <w:rPr>
          <w:rFonts w:cstheme="minorHAnsi"/>
        </w:rPr>
        <w:t>Margulis</w:t>
      </w:r>
      <w:proofErr w:type="spellEnd"/>
      <w:r w:rsidRPr="001F4D66">
        <w:rPr>
          <w:rFonts w:cstheme="minorHAnsi"/>
        </w:rPr>
        <w:t>, M</w:t>
      </w:r>
      <w:r w:rsidR="00381066" w:rsidRPr="001F4D66">
        <w:rPr>
          <w:rFonts w:cstheme="minorHAnsi"/>
        </w:rPr>
        <w:t xml:space="preserve"> y </w:t>
      </w:r>
      <w:proofErr w:type="spellStart"/>
      <w:r w:rsidR="00381066" w:rsidRPr="001F4D66">
        <w:rPr>
          <w:rFonts w:cstheme="minorHAnsi"/>
        </w:rPr>
        <w:t>Urresti</w:t>
      </w:r>
      <w:proofErr w:type="spellEnd"/>
      <w:r w:rsidRPr="001F4D66">
        <w:rPr>
          <w:rFonts w:cstheme="minorHAnsi"/>
        </w:rPr>
        <w:t>, M</w:t>
      </w:r>
      <w:r w:rsidR="00381066" w:rsidRPr="001F4D66">
        <w:rPr>
          <w:rFonts w:cstheme="minorHAnsi"/>
        </w:rPr>
        <w:t xml:space="preserve">. (1996). “La juventud es más que una palabra” en </w:t>
      </w:r>
      <w:proofErr w:type="spellStart"/>
      <w:r w:rsidR="00381066" w:rsidRPr="001F4D66">
        <w:rPr>
          <w:rFonts w:cstheme="minorHAnsi"/>
        </w:rPr>
        <w:t>Margulis</w:t>
      </w:r>
      <w:proofErr w:type="spellEnd"/>
      <w:r w:rsidR="00381066" w:rsidRPr="001F4D66">
        <w:rPr>
          <w:rFonts w:cstheme="minorHAnsi"/>
        </w:rPr>
        <w:t xml:space="preserve">, M. (Ed.) </w:t>
      </w:r>
      <w:r w:rsidR="00381066" w:rsidRPr="001F4D66">
        <w:rPr>
          <w:rFonts w:cstheme="minorHAnsi"/>
          <w:i/>
          <w:iCs/>
        </w:rPr>
        <w:t xml:space="preserve">La juventud es más que una palabra. Ensayos sobre cultura y juventud. </w:t>
      </w:r>
      <w:r w:rsidR="00381066" w:rsidRPr="001F4D66">
        <w:rPr>
          <w:rFonts w:cstheme="minorHAnsi"/>
        </w:rPr>
        <w:t xml:space="preserve"> </w:t>
      </w:r>
      <w:r w:rsidR="00381066" w:rsidRPr="008572DB">
        <w:rPr>
          <w:rFonts w:cstheme="minorHAnsi"/>
          <w:lang w:val="en-US"/>
        </w:rPr>
        <w:t xml:space="preserve">Buenos Aires: </w:t>
      </w:r>
      <w:proofErr w:type="spellStart"/>
      <w:r w:rsidR="00381066" w:rsidRPr="008572DB">
        <w:rPr>
          <w:rFonts w:cstheme="minorHAnsi"/>
          <w:lang w:val="en-US"/>
        </w:rPr>
        <w:t>Biblos</w:t>
      </w:r>
      <w:proofErr w:type="spellEnd"/>
      <w:r w:rsidR="00381066" w:rsidRPr="008572DB">
        <w:rPr>
          <w:rFonts w:cstheme="minorHAnsi"/>
          <w:lang w:val="en-US"/>
        </w:rPr>
        <w:t>.</w:t>
      </w:r>
    </w:p>
    <w:p w:rsidR="00381066" w:rsidRPr="001F4D66" w:rsidRDefault="001F4D66" w:rsidP="00CC3DF9">
      <w:pPr>
        <w:pStyle w:val="Default"/>
        <w:spacing w:line="276" w:lineRule="auto"/>
        <w:ind w:left="709" w:hanging="851"/>
        <w:jc w:val="both"/>
        <w:rPr>
          <w:rFonts w:asciiTheme="minorHAnsi" w:hAnsiTheme="minorHAnsi" w:cstheme="minorHAnsi"/>
          <w:sz w:val="22"/>
          <w:szCs w:val="22"/>
          <w:lang w:val="en-US"/>
        </w:rPr>
      </w:pPr>
      <w:r w:rsidRPr="001F4D66">
        <w:rPr>
          <w:rFonts w:asciiTheme="minorHAnsi" w:hAnsiTheme="minorHAnsi" w:cstheme="minorHAnsi"/>
          <w:sz w:val="22"/>
          <w:szCs w:val="22"/>
          <w:lang w:val="en-US"/>
        </w:rPr>
        <w:t xml:space="preserve">McKinnon, S y </w:t>
      </w:r>
      <w:proofErr w:type="spellStart"/>
      <w:r w:rsidRPr="001F4D66">
        <w:rPr>
          <w:rFonts w:asciiTheme="minorHAnsi" w:hAnsiTheme="minorHAnsi" w:cstheme="minorHAnsi"/>
          <w:sz w:val="22"/>
          <w:szCs w:val="22"/>
          <w:lang w:val="en-US"/>
        </w:rPr>
        <w:t>Cannell</w:t>
      </w:r>
      <w:proofErr w:type="spellEnd"/>
      <w:r w:rsidRPr="001F4D66">
        <w:rPr>
          <w:rFonts w:asciiTheme="minorHAnsi" w:hAnsiTheme="minorHAnsi" w:cstheme="minorHAnsi"/>
          <w:sz w:val="22"/>
          <w:szCs w:val="22"/>
          <w:lang w:val="en-US"/>
        </w:rPr>
        <w:t>, F</w:t>
      </w:r>
      <w:r w:rsidR="00381066" w:rsidRPr="001F4D66">
        <w:rPr>
          <w:rFonts w:asciiTheme="minorHAnsi" w:hAnsiTheme="minorHAnsi" w:cstheme="minorHAnsi"/>
          <w:sz w:val="22"/>
          <w:szCs w:val="22"/>
          <w:lang w:val="en-US"/>
        </w:rPr>
        <w:t xml:space="preserve">. (Eds.) (2013a). </w:t>
      </w:r>
      <w:r w:rsidR="00381066" w:rsidRPr="001F4D66">
        <w:rPr>
          <w:rFonts w:asciiTheme="minorHAnsi" w:hAnsiTheme="minorHAnsi" w:cstheme="minorHAnsi"/>
          <w:i/>
          <w:iCs/>
          <w:sz w:val="22"/>
          <w:szCs w:val="22"/>
          <w:lang w:val="en-US"/>
        </w:rPr>
        <w:t>Vital relations: modernity and the persistent life of kinship</w:t>
      </w:r>
      <w:r w:rsidR="00381066" w:rsidRPr="001F4D66">
        <w:rPr>
          <w:rFonts w:asciiTheme="minorHAnsi" w:hAnsiTheme="minorHAnsi" w:cstheme="minorHAnsi"/>
          <w:sz w:val="22"/>
          <w:szCs w:val="22"/>
          <w:lang w:val="en-US"/>
        </w:rPr>
        <w:t xml:space="preserve">. Santa Fe, N.M.: School for Advanced Research Press. </w:t>
      </w:r>
    </w:p>
    <w:p w:rsidR="00381066" w:rsidRPr="001F4D66" w:rsidRDefault="001F4D66" w:rsidP="00CC3DF9">
      <w:pPr>
        <w:autoSpaceDE w:val="0"/>
        <w:autoSpaceDN w:val="0"/>
        <w:adjustRightInd w:val="0"/>
        <w:spacing w:after="0" w:line="276" w:lineRule="auto"/>
        <w:ind w:left="709" w:hanging="851"/>
        <w:jc w:val="both"/>
        <w:rPr>
          <w:rFonts w:cstheme="minorHAnsi"/>
        </w:rPr>
      </w:pPr>
      <w:proofErr w:type="spellStart"/>
      <w:r w:rsidRPr="001F4D66">
        <w:rPr>
          <w:rFonts w:cstheme="minorHAnsi"/>
          <w:lang w:val="en-US"/>
        </w:rPr>
        <w:t>Neiburg</w:t>
      </w:r>
      <w:proofErr w:type="spellEnd"/>
      <w:r w:rsidRPr="001F4D66">
        <w:rPr>
          <w:rFonts w:cstheme="minorHAnsi"/>
          <w:lang w:val="en-US"/>
        </w:rPr>
        <w:t>, F</w:t>
      </w:r>
      <w:r w:rsidR="00381066" w:rsidRPr="001F4D66">
        <w:rPr>
          <w:rFonts w:cstheme="minorHAnsi"/>
          <w:lang w:val="en-US"/>
        </w:rPr>
        <w:t xml:space="preserve">. </w:t>
      </w:r>
      <w:r w:rsidR="00381066" w:rsidRPr="008572DB">
        <w:rPr>
          <w:rFonts w:cstheme="minorHAnsi"/>
          <w:lang w:val="en-US"/>
        </w:rPr>
        <w:t xml:space="preserve">(2003). </w:t>
      </w:r>
      <w:r w:rsidR="00381066" w:rsidRPr="001F4D66">
        <w:rPr>
          <w:rFonts w:cstheme="minorHAnsi"/>
        </w:rPr>
        <w:t xml:space="preserve">“Intimidad y esfera pública. Política y cultura en el espacio nacional argentino”, </w:t>
      </w:r>
      <w:r w:rsidR="00381066" w:rsidRPr="001F4D66">
        <w:rPr>
          <w:rFonts w:cstheme="minorHAnsi"/>
          <w:i/>
        </w:rPr>
        <w:t>Desarrollo Económico, Revista de Ciencias Sociales</w:t>
      </w:r>
      <w:r w:rsidR="00381066" w:rsidRPr="001F4D66">
        <w:rPr>
          <w:rFonts w:cstheme="minorHAnsi"/>
        </w:rPr>
        <w:t>, 170 (43): 287-303.</w:t>
      </w:r>
    </w:p>
    <w:p w:rsidR="00381066" w:rsidRPr="001F4D66" w:rsidRDefault="005C345C" w:rsidP="00CC3DF9">
      <w:pPr>
        <w:pStyle w:val="Default"/>
        <w:spacing w:line="276" w:lineRule="auto"/>
        <w:ind w:left="709" w:hanging="851"/>
        <w:jc w:val="both"/>
        <w:rPr>
          <w:rFonts w:asciiTheme="minorHAnsi" w:hAnsiTheme="minorHAnsi" w:cstheme="minorHAnsi"/>
          <w:sz w:val="22"/>
          <w:szCs w:val="22"/>
        </w:rPr>
      </w:pPr>
      <w:proofErr w:type="spellStart"/>
      <w:r w:rsidRPr="001F4D66">
        <w:rPr>
          <w:rFonts w:asciiTheme="minorHAnsi" w:hAnsiTheme="minorHAnsi" w:cstheme="minorHAnsi"/>
          <w:sz w:val="22"/>
          <w:szCs w:val="22"/>
        </w:rPr>
        <w:t>Peirano</w:t>
      </w:r>
      <w:proofErr w:type="spellEnd"/>
      <w:r w:rsidRPr="001F4D66">
        <w:rPr>
          <w:rFonts w:asciiTheme="minorHAnsi" w:hAnsiTheme="minorHAnsi" w:cstheme="minorHAnsi"/>
          <w:sz w:val="22"/>
          <w:szCs w:val="22"/>
        </w:rPr>
        <w:t>, M</w:t>
      </w:r>
      <w:r w:rsidR="00381066" w:rsidRPr="001F4D66">
        <w:rPr>
          <w:rFonts w:asciiTheme="minorHAnsi" w:hAnsiTheme="minorHAnsi" w:cstheme="minorHAnsi"/>
          <w:sz w:val="22"/>
          <w:szCs w:val="22"/>
        </w:rPr>
        <w:t>. (2006). “</w:t>
      </w:r>
      <w:r w:rsidR="00381066" w:rsidRPr="001F4D66">
        <w:rPr>
          <w:rFonts w:asciiTheme="minorHAnsi" w:hAnsiTheme="minorHAnsi" w:cstheme="minorHAnsi"/>
          <w:bCs/>
          <w:sz w:val="22"/>
          <w:szCs w:val="22"/>
        </w:rPr>
        <w:t xml:space="preserve">Temas </w:t>
      </w:r>
      <w:proofErr w:type="spellStart"/>
      <w:r w:rsidR="00381066" w:rsidRPr="001F4D66">
        <w:rPr>
          <w:rFonts w:asciiTheme="minorHAnsi" w:hAnsiTheme="minorHAnsi" w:cstheme="minorHAnsi"/>
          <w:bCs/>
          <w:sz w:val="22"/>
          <w:szCs w:val="22"/>
        </w:rPr>
        <w:t>ou</w:t>
      </w:r>
      <w:proofErr w:type="spellEnd"/>
      <w:r w:rsidR="00381066" w:rsidRPr="001F4D66">
        <w:rPr>
          <w:rFonts w:asciiTheme="minorHAnsi" w:hAnsiTheme="minorHAnsi" w:cstheme="minorHAnsi"/>
          <w:bCs/>
          <w:sz w:val="22"/>
          <w:szCs w:val="22"/>
        </w:rPr>
        <w:t xml:space="preserve"> </w:t>
      </w:r>
      <w:proofErr w:type="spellStart"/>
      <w:r w:rsidR="00381066" w:rsidRPr="001F4D66">
        <w:rPr>
          <w:rFonts w:asciiTheme="minorHAnsi" w:hAnsiTheme="minorHAnsi" w:cstheme="minorHAnsi"/>
          <w:bCs/>
          <w:sz w:val="22"/>
          <w:szCs w:val="22"/>
        </w:rPr>
        <w:t>Teorias</w:t>
      </w:r>
      <w:proofErr w:type="spellEnd"/>
      <w:r w:rsidR="00381066" w:rsidRPr="001F4D66">
        <w:rPr>
          <w:rFonts w:asciiTheme="minorHAnsi" w:hAnsiTheme="minorHAnsi" w:cstheme="minorHAnsi"/>
          <w:bCs/>
          <w:sz w:val="22"/>
          <w:szCs w:val="22"/>
        </w:rPr>
        <w:t xml:space="preserve">? O estatuto das </w:t>
      </w:r>
      <w:proofErr w:type="spellStart"/>
      <w:r w:rsidR="00381066" w:rsidRPr="001F4D66">
        <w:rPr>
          <w:rFonts w:asciiTheme="minorHAnsi" w:hAnsiTheme="minorHAnsi" w:cstheme="minorHAnsi"/>
          <w:bCs/>
          <w:sz w:val="22"/>
          <w:szCs w:val="22"/>
        </w:rPr>
        <w:t>noções</w:t>
      </w:r>
      <w:proofErr w:type="spellEnd"/>
      <w:r w:rsidR="00381066" w:rsidRPr="001F4D66">
        <w:rPr>
          <w:rFonts w:asciiTheme="minorHAnsi" w:hAnsiTheme="minorHAnsi" w:cstheme="minorHAnsi"/>
          <w:bCs/>
          <w:sz w:val="22"/>
          <w:szCs w:val="22"/>
        </w:rPr>
        <w:t xml:space="preserve"> de ritual e de performance”, </w:t>
      </w:r>
      <w:proofErr w:type="spellStart"/>
      <w:r w:rsidR="00381066" w:rsidRPr="001F4D66">
        <w:rPr>
          <w:rFonts w:asciiTheme="minorHAnsi" w:hAnsiTheme="minorHAnsi" w:cstheme="minorHAnsi"/>
          <w:bCs/>
          <w:i/>
          <w:sz w:val="22"/>
          <w:szCs w:val="22"/>
        </w:rPr>
        <w:t>Cadernos</w:t>
      </w:r>
      <w:proofErr w:type="spellEnd"/>
      <w:r w:rsidR="00381066" w:rsidRPr="001F4D66">
        <w:rPr>
          <w:rFonts w:asciiTheme="minorHAnsi" w:hAnsiTheme="minorHAnsi" w:cstheme="minorHAnsi"/>
          <w:bCs/>
          <w:sz w:val="22"/>
          <w:szCs w:val="22"/>
        </w:rPr>
        <w:t xml:space="preserve">, </w:t>
      </w:r>
      <w:r w:rsidR="00381066" w:rsidRPr="001F4D66">
        <w:rPr>
          <w:rFonts w:asciiTheme="minorHAnsi" w:hAnsiTheme="minorHAnsi" w:cstheme="minorHAnsi"/>
          <w:sz w:val="22"/>
          <w:szCs w:val="22"/>
        </w:rPr>
        <w:t>7(2):9-16.</w:t>
      </w:r>
    </w:p>
    <w:p w:rsidR="00381066" w:rsidRPr="001F4D66" w:rsidRDefault="005C345C" w:rsidP="00CC3DF9">
      <w:pPr>
        <w:autoSpaceDE w:val="0"/>
        <w:autoSpaceDN w:val="0"/>
        <w:adjustRightInd w:val="0"/>
        <w:spacing w:after="0" w:line="276" w:lineRule="auto"/>
        <w:ind w:left="709" w:right="-1" w:hanging="851"/>
        <w:jc w:val="both"/>
        <w:rPr>
          <w:rFonts w:cstheme="minorHAnsi"/>
        </w:rPr>
      </w:pPr>
      <w:proofErr w:type="spellStart"/>
      <w:r w:rsidRPr="001F4D66">
        <w:rPr>
          <w:rFonts w:cstheme="minorHAnsi"/>
        </w:rPr>
        <w:t>Poliszuk</w:t>
      </w:r>
      <w:proofErr w:type="spellEnd"/>
      <w:r w:rsidRPr="001F4D66">
        <w:rPr>
          <w:rFonts w:cstheme="minorHAnsi"/>
        </w:rPr>
        <w:t>, S</w:t>
      </w:r>
      <w:r w:rsidR="00381066" w:rsidRPr="001F4D66">
        <w:rPr>
          <w:rFonts w:cstheme="minorHAnsi"/>
        </w:rPr>
        <w:t xml:space="preserve">. (2013). “Búsquedas </w:t>
      </w:r>
      <w:proofErr w:type="spellStart"/>
      <w:r w:rsidR="00381066" w:rsidRPr="001F4D66">
        <w:rPr>
          <w:rFonts w:cstheme="minorHAnsi"/>
        </w:rPr>
        <w:t>identitarias</w:t>
      </w:r>
      <w:proofErr w:type="spellEnd"/>
      <w:r w:rsidR="00381066" w:rsidRPr="001F4D66">
        <w:rPr>
          <w:rFonts w:cstheme="minorHAnsi"/>
        </w:rPr>
        <w:t xml:space="preserve"> juveniles en torno a la política”, en: </w:t>
      </w:r>
      <w:proofErr w:type="spellStart"/>
      <w:r w:rsidR="00381066" w:rsidRPr="001F4D66">
        <w:rPr>
          <w:rFonts w:cstheme="minorHAnsi"/>
        </w:rPr>
        <w:t>Borobia</w:t>
      </w:r>
      <w:proofErr w:type="spellEnd"/>
      <w:r w:rsidR="00381066" w:rsidRPr="001F4D66">
        <w:rPr>
          <w:rFonts w:cstheme="minorHAnsi"/>
        </w:rPr>
        <w:t xml:space="preserve">, R.; </w:t>
      </w:r>
      <w:proofErr w:type="spellStart"/>
      <w:r w:rsidR="00381066" w:rsidRPr="001F4D66">
        <w:rPr>
          <w:rFonts w:cstheme="minorHAnsi"/>
        </w:rPr>
        <w:t>Kropff</w:t>
      </w:r>
      <w:proofErr w:type="spellEnd"/>
      <w:r w:rsidR="00381066" w:rsidRPr="001F4D66">
        <w:rPr>
          <w:rFonts w:cstheme="minorHAnsi"/>
        </w:rPr>
        <w:t>, L. y Núñez, P. (</w:t>
      </w:r>
      <w:proofErr w:type="spellStart"/>
      <w:r w:rsidR="00381066" w:rsidRPr="001F4D66">
        <w:rPr>
          <w:rFonts w:cstheme="minorHAnsi"/>
        </w:rPr>
        <w:t>Comps</w:t>
      </w:r>
      <w:proofErr w:type="spellEnd"/>
      <w:r w:rsidR="00381066" w:rsidRPr="001F4D66">
        <w:rPr>
          <w:rFonts w:cstheme="minorHAnsi"/>
        </w:rPr>
        <w:t xml:space="preserve">.), </w:t>
      </w:r>
      <w:r w:rsidR="00381066" w:rsidRPr="001F4D66">
        <w:rPr>
          <w:rFonts w:cstheme="minorHAnsi"/>
          <w:i/>
        </w:rPr>
        <w:t>Juventud y participación política. Más allá de la sorpresa</w:t>
      </w:r>
      <w:r w:rsidR="00381066" w:rsidRPr="001F4D66">
        <w:rPr>
          <w:rFonts w:cstheme="minorHAnsi"/>
        </w:rPr>
        <w:t>. Buenos Aires: Centro de Publicaciones Educativas y Material Didáctico, pp.47-71.</w:t>
      </w:r>
    </w:p>
    <w:p w:rsidR="00885107" w:rsidRPr="001F4D66" w:rsidRDefault="00885107" w:rsidP="00CC3DF9">
      <w:pPr>
        <w:autoSpaceDE w:val="0"/>
        <w:autoSpaceDN w:val="0"/>
        <w:adjustRightInd w:val="0"/>
        <w:spacing w:after="0" w:line="276" w:lineRule="auto"/>
        <w:ind w:left="709" w:hanging="851"/>
        <w:jc w:val="both"/>
        <w:rPr>
          <w:rFonts w:cstheme="minorHAnsi"/>
        </w:rPr>
      </w:pPr>
      <w:r w:rsidRPr="001F4D66">
        <w:rPr>
          <w:rFonts w:cstheme="minorHAnsi"/>
        </w:rPr>
        <w:t>Quiró</w:t>
      </w:r>
      <w:r w:rsidR="005C345C" w:rsidRPr="001F4D66">
        <w:rPr>
          <w:rFonts w:cstheme="minorHAnsi"/>
        </w:rPr>
        <w:t>s, J</w:t>
      </w:r>
      <w:r w:rsidRPr="001F4D66">
        <w:rPr>
          <w:rFonts w:cstheme="minorHAnsi"/>
        </w:rPr>
        <w:t xml:space="preserve">. (2008). </w:t>
      </w:r>
      <w:r w:rsidR="001F4D66">
        <w:rPr>
          <w:rFonts w:cstheme="minorHAnsi"/>
        </w:rPr>
        <w:t>“</w:t>
      </w:r>
      <w:r w:rsidRPr="001F4D66">
        <w:rPr>
          <w:rFonts w:cstheme="minorHAnsi"/>
        </w:rPr>
        <w:t>Piqueteros y peronistas en la lucha del Gran Buenos Aires. Por una visión no instrumental de la política popular</w:t>
      </w:r>
      <w:r w:rsidR="001F4D66">
        <w:rPr>
          <w:rFonts w:cstheme="minorHAnsi"/>
        </w:rPr>
        <w:t>”</w:t>
      </w:r>
      <w:r w:rsidRPr="001F4D66">
        <w:rPr>
          <w:rFonts w:cstheme="minorHAnsi"/>
        </w:rPr>
        <w:t xml:space="preserve">, </w:t>
      </w:r>
      <w:r w:rsidRPr="001F4D66">
        <w:rPr>
          <w:rFonts w:cstheme="minorHAnsi"/>
          <w:i/>
          <w:iCs/>
        </w:rPr>
        <w:t xml:space="preserve">Cuadernos de Antropología Social </w:t>
      </w:r>
      <w:r w:rsidRPr="001F4D66">
        <w:rPr>
          <w:rFonts w:cstheme="minorHAnsi"/>
        </w:rPr>
        <w:t>27:113-132.</w:t>
      </w:r>
    </w:p>
    <w:p w:rsidR="009D25B7" w:rsidRDefault="00381066" w:rsidP="009D25B7">
      <w:pPr>
        <w:autoSpaceDE w:val="0"/>
        <w:autoSpaceDN w:val="0"/>
        <w:adjustRightInd w:val="0"/>
        <w:spacing w:after="0" w:line="276" w:lineRule="auto"/>
        <w:ind w:left="709" w:hanging="851"/>
        <w:jc w:val="both"/>
        <w:rPr>
          <w:rFonts w:cstheme="minorHAnsi"/>
        </w:rPr>
      </w:pPr>
      <w:r w:rsidRPr="001F4D66">
        <w:rPr>
          <w:rFonts w:cstheme="minorHAnsi"/>
        </w:rPr>
        <w:t>Ramos, A</w:t>
      </w:r>
      <w:r w:rsidR="005C345C" w:rsidRPr="001F4D66">
        <w:rPr>
          <w:rFonts w:cstheme="minorHAnsi"/>
        </w:rPr>
        <w:t xml:space="preserve">. </w:t>
      </w:r>
      <w:r w:rsidRPr="001F4D66">
        <w:rPr>
          <w:rFonts w:cstheme="minorHAnsi"/>
        </w:rPr>
        <w:t xml:space="preserve">M. (2010). </w:t>
      </w:r>
      <w:r w:rsidRPr="001F4D66">
        <w:rPr>
          <w:rFonts w:cstheme="minorHAnsi"/>
          <w:i/>
        </w:rPr>
        <w:t>Los pliegues del linaje. Memorias y políticas mapuches-tehuelches en contextos de desplazamiento</w:t>
      </w:r>
      <w:r w:rsidRPr="001F4D66">
        <w:rPr>
          <w:rFonts w:cstheme="minorHAnsi"/>
        </w:rPr>
        <w:t xml:space="preserve">. </w:t>
      </w:r>
      <w:r w:rsidRPr="008572DB">
        <w:rPr>
          <w:rFonts w:cstheme="minorHAnsi"/>
        </w:rPr>
        <w:t xml:space="preserve">Buenos Aires: </w:t>
      </w:r>
      <w:proofErr w:type="spellStart"/>
      <w:r w:rsidRPr="008572DB">
        <w:rPr>
          <w:rFonts w:cstheme="minorHAnsi"/>
        </w:rPr>
        <w:t>Eudeba.</w:t>
      </w:r>
      <w:proofErr w:type="spellEnd"/>
    </w:p>
    <w:p w:rsidR="009D25B7" w:rsidRPr="007C05C2" w:rsidRDefault="009D25B7" w:rsidP="009D25B7">
      <w:pPr>
        <w:autoSpaceDE w:val="0"/>
        <w:autoSpaceDN w:val="0"/>
        <w:adjustRightInd w:val="0"/>
        <w:spacing w:after="0" w:line="276" w:lineRule="auto"/>
        <w:ind w:left="709" w:hanging="851"/>
        <w:jc w:val="both"/>
        <w:rPr>
          <w:rFonts w:cstheme="minorHAnsi"/>
        </w:rPr>
      </w:pPr>
      <w:proofErr w:type="spellStart"/>
      <w:r w:rsidRPr="007C05C2">
        <w:rPr>
          <w:rFonts w:cstheme="minorHAnsi"/>
        </w:rPr>
        <w:t>Rocca</w:t>
      </w:r>
      <w:proofErr w:type="spellEnd"/>
      <w:r w:rsidRPr="007C05C2">
        <w:rPr>
          <w:rFonts w:cstheme="minorHAnsi"/>
        </w:rPr>
        <w:t xml:space="preserve"> Rivarola, D. (2019).</w:t>
      </w:r>
      <w:r>
        <w:rPr>
          <w:rFonts w:cstheme="minorHAnsi"/>
        </w:rPr>
        <w:t xml:space="preserve"> </w:t>
      </w:r>
      <w:r w:rsidRPr="009D25B7">
        <w:rPr>
          <w:rFonts w:cstheme="minorHAnsi"/>
          <w:i/>
        </w:rPr>
        <w:t>Militar en el gobierno. Generaciones de militancia juvenil en los gobiernos argentinos y brasileros (2003-2015/2016)</w:t>
      </w:r>
      <w:r>
        <w:rPr>
          <w:rFonts w:cstheme="minorHAnsi"/>
        </w:rPr>
        <w:t>.</w:t>
      </w:r>
      <w:bookmarkStart w:id="0" w:name="_GoBack"/>
      <w:bookmarkEnd w:id="0"/>
      <w:r w:rsidRPr="007C05C2">
        <w:rPr>
          <w:rFonts w:cstheme="minorHAnsi"/>
        </w:rPr>
        <w:t xml:space="preserve"> Ciudad Autónoma de Buenos Aires: Grupo Editor Universitario.</w:t>
      </w:r>
    </w:p>
    <w:p w:rsidR="00524227" w:rsidRPr="008572DB" w:rsidRDefault="00524227" w:rsidP="00CC3DF9">
      <w:pPr>
        <w:autoSpaceDE w:val="0"/>
        <w:autoSpaceDN w:val="0"/>
        <w:adjustRightInd w:val="0"/>
        <w:spacing w:after="0" w:line="276" w:lineRule="auto"/>
        <w:ind w:left="709" w:hanging="851"/>
        <w:jc w:val="both"/>
        <w:rPr>
          <w:rFonts w:cstheme="minorHAnsi"/>
          <w:lang w:val="en-US"/>
        </w:rPr>
      </w:pPr>
      <w:r w:rsidRPr="005F4C12">
        <w:rPr>
          <w:rFonts w:cstheme="minorHAnsi"/>
        </w:rPr>
        <w:t xml:space="preserve">Rockwell, E. </w:t>
      </w:r>
      <w:r w:rsidR="005F4C12">
        <w:rPr>
          <w:rFonts w:cstheme="minorHAnsi"/>
        </w:rPr>
        <w:t>(2009</w:t>
      </w:r>
      <w:r w:rsidRPr="001F4D66">
        <w:rPr>
          <w:rFonts w:cstheme="minorHAnsi"/>
        </w:rPr>
        <w:t>).</w:t>
      </w:r>
      <w:r w:rsidR="005F4C12">
        <w:rPr>
          <w:rFonts w:cstheme="minorHAnsi"/>
        </w:rPr>
        <w:t xml:space="preserve"> </w:t>
      </w:r>
      <w:r w:rsidR="005F4C12" w:rsidRPr="005F4C12">
        <w:rPr>
          <w:rFonts w:cstheme="minorHAnsi"/>
          <w:i/>
        </w:rPr>
        <w:t>La experiencia etnográfica: historia y cultura en los procesos educativos</w:t>
      </w:r>
      <w:r w:rsidR="005F4C12">
        <w:rPr>
          <w:rFonts w:cstheme="minorHAnsi"/>
        </w:rPr>
        <w:t xml:space="preserve">. </w:t>
      </w:r>
      <w:r w:rsidR="005F4C12" w:rsidRPr="008572DB">
        <w:rPr>
          <w:rFonts w:cstheme="minorHAnsi"/>
          <w:lang w:val="en-US"/>
        </w:rPr>
        <w:t xml:space="preserve">Buenos Aires: </w:t>
      </w:r>
      <w:proofErr w:type="spellStart"/>
      <w:r w:rsidR="005F4C12" w:rsidRPr="008572DB">
        <w:rPr>
          <w:rFonts w:cstheme="minorHAnsi"/>
          <w:lang w:val="en-US"/>
        </w:rPr>
        <w:t>Paidós</w:t>
      </w:r>
      <w:proofErr w:type="spellEnd"/>
      <w:r w:rsidR="005F4C12" w:rsidRPr="008572DB">
        <w:rPr>
          <w:rFonts w:cstheme="minorHAnsi"/>
          <w:lang w:val="en-US"/>
        </w:rPr>
        <w:t>.</w:t>
      </w:r>
    </w:p>
    <w:p w:rsidR="00381066" w:rsidRPr="001F4D66" w:rsidRDefault="00381066" w:rsidP="00CC3DF9">
      <w:pPr>
        <w:pStyle w:val="Default"/>
        <w:spacing w:line="276" w:lineRule="auto"/>
        <w:ind w:left="709" w:hanging="851"/>
        <w:jc w:val="both"/>
        <w:rPr>
          <w:rFonts w:asciiTheme="minorHAnsi" w:hAnsiTheme="minorHAnsi" w:cstheme="minorHAnsi"/>
          <w:sz w:val="22"/>
          <w:szCs w:val="22"/>
          <w:lang w:val="en-US"/>
        </w:rPr>
      </w:pPr>
      <w:proofErr w:type="spellStart"/>
      <w:r w:rsidRPr="001F4D66">
        <w:rPr>
          <w:rFonts w:asciiTheme="minorHAnsi" w:hAnsiTheme="minorHAnsi" w:cstheme="minorHAnsi"/>
          <w:sz w:val="22"/>
          <w:szCs w:val="22"/>
          <w:lang w:val="en-US"/>
        </w:rPr>
        <w:t>Sahlins</w:t>
      </w:r>
      <w:proofErr w:type="spellEnd"/>
      <w:r w:rsidRPr="001F4D66">
        <w:rPr>
          <w:rFonts w:asciiTheme="minorHAnsi" w:hAnsiTheme="minorHAnsi" w:cstheme="minorHAnsi"/>
          <w:sz w:val="22"/>
          <w:szCs w:val="22"/>
          <w:lang w:val="en-US"/>
        </w:rPr>
        <w:t xml:space="preserve">, M. (2013). </w:t>
      </w:r>
      <w:r w:rsidRPr="001F4D66">
        <w:rPr>
          <w:rFonts w:asciiTheme="minorHAnsi" w:hAnsiTheme="minorHAnsi" w:cstheme="minorHAnsi"/>
          <w:i/>
          <w:iCs/>
          <w:sz w:val="22"/>
          <w:szCs w:val="22"/>
          <w:lang w:val="en-US"/>
        </w:rPr>
        <w:t>What kinship is – and is not</w:t>
      </w:r>
      <w:r w:rsidRPr="001F4D66">
        <w:rPr>
          <w:rFonts w:asciiTheme="minorHAnsi" w:hAnsiTheme="minorHAnsi" w:cstheme="minorHAnsi"/>
          <w:sz w:val="22"/>
          <w:szCs w:val="22"/>
          <w:lang w:val="en-US"/>
        </w:rPr>
        <w:t>. Chicago: Chicago University Press.</w:t>
      </w:r>
    </w:p>
    <w:p w:rsidR="00885107" w:rsidRPr="001F4D66" w:rsidRDefault="005C345C" w:rsidP="00CC3DF9">
      <w:pPr>
        <w:autoSpaceDE w:val="0"/>
        <w:autoSpaceDN w:val="0"/>
        <w:adjustRightInd w:val="0"/>
        <w:spacing w:after="0" w:line="276" w:lineRule="auto"/>
        <w:ind w:left="709" w:hanging="851"/>
        <w:jc w:val="both"/>
        <w:rPr>
          <w:rFonts w:cstheme="minorHAnsi"/>
        </w:rPr>
      </w:pPr>
      <w:r w:rsidRPr="008572DB">
        <w:rPr>
          <w:rFonts w:cstheme="minorHAnsi"/>
          <w:lang w:val="en-US"/>
        </w:rPr>
        <w:t>Shore, C</w:t>
      </w:r>
      <w:r w:rsidR="00885107" w:rsidRPr="008572DB">
        <w:rPr>
          <w:rFonts w:cstheme="minorHAnsi"/>
          <w:lang w:val="en-US"/>
        </w:rPr>
        <w:t xml:space="preserve">. (2010). </w:t>
      </w:r>
      <w:r w:rsidR="001F4D66">
        <w:rPr>
          <w:rFonts w:cstheme="minorHAnsi"/>
        </w:rPr>
        <w:t>“</w:t>
      </w:r>
      <w:r w:rsidR="00885107" w:rsidRPr="001F4D66">
        <w:rPr>
          <w:rFonts w:cstheme="minorHAnsi"/>
        </w:rPr>
        <w:t>La antropología y el estudio de la política pública: reflexiones sobre la ‘formulación’ de las políticas</w:t>
      </w:r>
      <w:r w:rsidR="001F4D66">
        <w:rPr>
          <w:rFonts w:cstheme="minorHAnsi"/>
        </w:rPr>
        <w:t>”</w:t>
      </w:r>
      <w:r w:rsidR="00885107" w:rsidRPr="001F4D66">
        <w:rPr>
          <w:rFonts w:cstheme="minorHAnsi"/>
        </w:rPr>
        <w:t xml:space="preserve">, </w:t>
      </w:r>
      <w:r w:rsidR="00885107" w:rsidRPr="001F4D66">
        <w:rPr>
          <w:rFonts w:cstheme="minorHAnsi"/>
          <w:i/>
          <w:iCs/>
        </w:rPr>
        <w:t>Antípoda</w:t>
      </w:r>
      <w:r w:rsidR="00885107" w:rsidRPr="001F4D66">
        <w:rPr>
          <w:rFonts w:cstheme="minorHAnsi"/>
        </w:rPr>
        <w:t>, 10:21-49.</w:t>
      </w:r>
    </w:p>
    <w:p w:rsidR="005C345C" w:rsidRPr="001F4D66" w:rsidRDefault="005C345C" w:rsidP="00CC3DF9">
      <w:pPr>
        <w:pStyle w:val="Default"/>
        <w:spacing w:line="276" w:lineRule="auto"/>
        <w:ind w:left="709" w:right="140" w:hanging="851"/>
        <w:jc w:val="both"/>
        <w:rPr>
          <w:rFonts w:asciiTheme="minorHAnsi" w:hAnsiTheme="minorHAnsi" w:cstheme="minorHAnsi"/>
          <w:sz w:val="22"/>
          <w:szCs w:val="22"/>
        </w:rPr>
      </w:pPr>
      <w:r w:rsidRPr="001F4D66">
        <w:rPr>
          <w:rFonts w:asciiTheme="minorHAnsi" w:hAnsiTheme="minorHAnsi" w:cstheme="minorHAnsi"/>
          <w:sz w:val="22"/>
          <w:szCs w:val="22"/>
        </w:rPr>
        <w:t>Souza Lima, A. C. y Macedo e Castro,</w:t>
      </w:r>
      <w:r w:rsidRPr="001F4D66">
        <w:rPr>
          <w:rFonts w:asciiTheme="minorHAnsi" w:hAnsiTheme="minorHAnsi" w:cstheme="minorHAnsi"/>
          <w:color w:val="auto"/>
          <w:sz w:val="22"/>
          <w:szCs w:val="22"/>
        </w:rPr>
        <w:t xml:space="preserve"> </w:t>
      </w:r>
      <w:r w:rsidRPr="001F4D66">
        <w:rPr>
          <w:rFonts w:asciiTheme="minorHAnsi" w:hAnsiTheme="minorHAnsi" w:cstheme="minorHAnsi"/>
          <w:sz w:val="22"/>
          <w:szCs w:val="22"/>
        </w:rPr>
        <w:t>J. P. (2015). “</w:t>
      </w:r>
      <w:r w:rsidRPr="001F4D66">
        <w:rPr>
          <w:rFonts w:asciiTheme="minorHAnsi" w:hAnsiTheme="minorHAnsi" w:cstheme="minorHAnsi"/>
          <w:bCs/>
          <w:sz w:val="22"/>
          <w:szCs w:val="22"/>
        </w:rPr>
        <w:t xml:space="preserve">Notas para </w:t>
      </w:r>
      <w:proofErr w:type="spellStart"/>
      <w:r w:rsidRPr="001F4D66">
        <w:rPr>
          <w:rFonts w:asciiTheme="minorHAnsi" w:hAnsiTheme="minorHAnsi" w:cstheme="minorHAnsi"/>
          <w:bCs/>
          <w:sz w:val="22"/>
          <w:szCs w:val="22"/>
        </w:rPr>
        <w:t>uma</w:t>
      </w:r>
      <w:proofErr w:type="spellEnd"/>
      <w:r w:rsidRPr="001F4D66">
        <w:rPr>
          <w:rFonts w:asciiTheme="minorHAnsi" w:hAnsiTheme="minorHAnsi" w:cstheme="minorHAnsi"/>
          <w:bCs/>
          <w:sz w:val="22"/>
          <w:szCs w:val="22"/>
        </w:rPr>
        <w:t xml:space="preserve"> </w:t>
      </w:r>
      <w:proofErr w:type="spellStart"/>
      <w:r w:rsidRPr="001F4D66">
        <w:rPr>
          <w:rFonts w:asciiTheme="minorHAnsi" w:hAnsiTheme="minorHAnsi" w:cstheme="minorHAnsi"/>
          <w:bCs/>
          <w:sz w:val="22"/>
          <w:szCs w:val="22"/>
        </w:rPr>
        <w:t>Abordagem</w:t>
      </w:r>
      <w:proofErr w:type="spellEnd"/>
      <w:r w:rsidRPr="001F4D66">
        <w:rPr>
          <w:rFonts w:asciiTheme="minorHAnsi" w:hAnsiTheme="minorHAnsi" w:cstheme="minorHAnsi"/>
          <w:bCs/>
          <w:sz w:val="22"/>
          <w:szCs w:val="22"/>
        </w:rPr>
        <w:t xml:space="preserve"> Antropológica da(s) Política(s) Pública(s)”, </w:t>
      </w:r>
      <w:r w:rsidRPr="001F4D66">
        <w:rPr>
          <w:rFonts w:asciiTheme="minorHAnsi" w:hAnsiTheme="minorHAnsi" w:cstheme="minorHAnsi"/>
          <w:bCs/>
          <w:i/>
          <w:sz w:val="22"/>
          <w:szCs w:val="22"/>
        </w:rPr>
        <w:t xml:space="preserve">Revista </w:t>
      </w:r>
      <w:proofErr w:type="spellStart"/>
      <w:r w:rsidRPr="001F4D66">
        <w:rPr>
          <w:rFonts w:asciiTheme="minorHAnsi" w:hAnsiTheme="minorHAnsi" w:cstheme="minorHAnsi"/>
          <w:bCs/>
          <w:i/>
          <w:sz w:val="22"/>
          <w:szCs w:val="22"/>
        </w:rPr>
        <w:t>Anthropológicas</w:t>
      </w:r>
      <w:proofErr w:type="spellEnd"/>
      <w:r w:rsidRPr="001F4D66">
        <w:rPr>
          <w:rFonts w:asciiTheme="minorHAnsi" w:hAnsiTheme="minorHAnsi" w:cstheme="minorHAnsi"/>
          <w:b/>
          <w:bCs/>
          <w:sz w:val="22"/>
          <w:szCs w:val="22"/>
        </w:rPr>
        <w:t xml:space="preserve">, </w:t>
      </w:r>
      <w:r w:rsidRPr="001F4D66">
        <w:rPr>
          <w:rFonts w:asciiTheme="minorHAnsi" w:hAnsiTheme="minorHAnsi" w:cstheme="minorHAnsi"/>
          <w:sz w:val="22"/>
          <w:szCs w:val="22"/>
        </w:rPr>
        <w:t>Ano 19, 26(2):17-54.</w:t>
      </w:r>
    </w:p>
    <w:p w:rsidR="00885107" w:rsidRPr="001F4D66" w:rsidRDefault="00381066" w:rsidP="00CC3DF9">
      <w:pPr>
        <w:pStyle w:val="Ttulo1"/>
        <w:shd w:val="clear" w:color="auto" w:fill="FFFFFF"/>
        <w:spacing w:before="0" w:beforeAutospacing="0" w:after="0" w:afterAutospacing="0" w:line="276" w:lineRule="auto"/>
        <w:ind w:left="709" w:hanging="851"/>
        <w:jc w:val="both"/>
        <w:textAlignment w:val="baseline"/>
        <w:rPr>
          <w:rFonts w:asciiTheme="minorHAnsi" w:hAnsiTheme="minorHAnsi" w:cstheme="minorHAnsi"/>
          <w:b w:val="0"/>
          <w:sz w:val="22"/>
          <w:szCs w:val="22"/>
        </w:rPr>
      </w:pPr>
      <w:r w:rsidRPr="001F4D66">
        <w:rPr>
          <w:rFonts w:asciiTheme="minorHAnsi" w:hAnsiTheme="minorHAnsi" w:cstheme="minorHAnsi"/>
          <w:b w:val="0"/>
          <w:sz w:val="22"/>
          <w:szCs w:val="22"/>
        </w:rPr>
        <w:t xml:space="preserve">Vázquez, </w:t>
      </w:r>
      <w:r w:rsidR="005C345C" w:rsidRPr="001F4D66">
        <w:rPr>
          <w:rFonts w:asciiTheme="minorHAnsi" w:hAnsiTheme="minorHAnsi" w:cstheme="minorHAnsi"/>
          <w:b w:val="0"/>
          <w:sz w:val="22"/>
          <w:szCs w:val="22"/>
        </w:rPr>
        <w:t>M</w:t>
      </w:r>
      <w:r w:rsidRPr="001F4D66">
        <w:rPr>
          <w:rFonts w:asciiTheme="minorHAnsi" w:hAnsiTheme="minorHAnsi" w:cstheme="minorHAnsi"/>
          <w:b w:val="0"/>
          <w:sz w:val="22"/>
          <w:szCs w:val="22"/>
        </w:rPr>
        <w:t xml:space="preserve">. </w:t>
      </w:r>
      <w:r w:rsidR="00885107" w:rsidRPr="001F4D66">
        <w:rPr>
          <w:rFonts w:asciiTheme="minorHAnsi" w:hAnsiTheme="minorHAnsi" w:cstheme="minorHAnsi"/>
          <w:b w:val="0"/>
          <w:sz w:val="22"/>
          <w:szCs w:val="22"/>
        </w:rPr>
        <w:t xml:space="preserve">(2014) “‘Militar la gestión’: una aproximación a las relaciones entre activismo y trabajo en el Estado a partir de las gestiones de gobierno de Cristina Fernández de Kirchner en Argentina”, </w:t>
      </w:r>
      <w:r w:rsidR="00885107" w:rsidRPr="001F4D66">
        <w:rPr>
          <w:rFonts w:asciiTheme="minorHAnsi" w:hAnsiTheme="minorHAnsi" w:cstheme="minorHAnsi"/>
          <w:b w:val="0"/>
          <w:i/>
          <w:sz w:val="22"/>
          <w:szCs w:val="22"/>
        </w:rPr>
        <w:t>Apuntes</w:t>
      </w:r>
      <w:r w:rsidR="00885107" w:rsidRPr="001F4D66">
        <w:rPr>
          <w:rFonts w:asciiTheme="minorHAnsi" w:hAnsiTheme="minorHAnsi" w:cstheme="minorHAnsi"/>
          <w:b w:val="0"/>
          <w:sz w:val="22"/>
          <w:szCs w:val="22"/>
        </w:rPr>
        <w:t xml:space="preserve">, </w:t>
      </w:r>
      <w:r w:rsidR="00885107" w:rsidRPr="001F4D66">
        <w:rPr>
          <w:rStyle w:val="A0"/>
          <w:rFonts w:asciiTheme="minorHAnsi" w:hAnsiTheme="minorHAnsi" w:cstheme="minorHAnsi"/>
          <w:b w:val="0"/>
          <w:sz w:val="22"/>
          <w:szCs w:val="22"/>
        </w:rPr>
        <w:t>74: 71-102.</w:t>
      </w:r>
    </w:p>
    <w:p w:rsidR="00885107" w:rsidRPr="001F4D66" w:rsidRDefault="005C345C" w:rsidP="00CC3DF9">
      <w:pPr>
        <w:pStyle w:val="Ttulo1"/>
        <w:shd w:val="clear" w:color="auto" w:fill="FFFFFF"/>
        <w:spacing w:before="0" w:beforeAutospacing="0" w:after="0" w:afterAutospacing="0" w:line="276" w:lineRule="auto"/>
        <w:ind w:left="709" w:hanging="851"/>
        <w:jc w:val="both"/>
        <w:textAlignment w:val="baseline"/>
        <w:rPr>
          <w:rFonts w:asciiTheme="minorHAnsi" w:hAnsiTheme="minorHAnsi" w:cstheme="minorHAnsi"/>
          <w:b w:val="0"/>
          <w:sz w:val="22"/>
          <w:szCs w:val="22"/>
        </w:rPr>
      </w:pPr>
      <w:r w:rsidRPr="001F4D66">
        <w:rPr>
          <w:rStyle w:val="Hipervnculo"/>
          <w:rFonts w:asciiTheme="minorHAnsi" w:hAnsiTheme="minorHAnsi" w:cstheme="minorHAnsi"/>
          <w:b w:val="0"/>
          <w:color w:val="auto"/>
          <w:sz w:val="22"/>
          <w:szCs w:val="22"/>
          <w:u w:val="none"/>
          <w:shd w:val="clear" w:color="auto" w:fill="FFFFFF"/>
        </w:rPr>
        <w:t>- (</w:t>
      </w:r>
      <w:r w:rsidR="00885107" w:rsidRPr="001F4D66">
        <w:rPr>
          <w:rFonts w:asciiTheme="minorHAnsi" w:hAnsiTheme="minorHAnsi" w:cstheme="minorHAnsi"/>
          <w:b w:val="0"/>
          <w:sz w:val="22"/>
          <w:szCs w:val="22"/>
        </w:rPr>
        <w:t>2015</w:t>
      </w:r>
      <w:r w:rsidRPr="001F4D66">
        <w:rPr>
          <w:rFonts w:asciiTheme="minorHAnsi" w:hAnsiTheme="minorHAnsi" w:cstheme="minorHAnsi"/>
          <w:b w:val="0"/>
          <w:sz w:val="22"/>
          <w:szCs w:val="22"/>
        </w:rPr>
        <w:t>)</w:t>
      </w:r>
      <w:r w:rsidR="00885107" w:rsidRPr="001F4D66">
        <w:rPr>
          <w:rFonts w:asciiTheme="minorHAnsi" w:hAnsiTheme="minorHAnsi" w:cstheme="minorHAnsi"/>
          <w:b w:val="0"/>
          <w:sz w:val="22"/>
          <w:szCs w:val="22"/>
        </w:rPr>
        <w:t xml:space="preserve">. </w:t>
      </w:r>
      <w:r w:rsidR="00885107" w:rsidRPr="001F4D66">
        <w:rPr>
          <w:rFonts w:asciiTheme="minorHAnsi" w:hAnsiTheme="minorHAnsi" w:cstheme="minorHAnsi"/>
          <w:b w:val="0"/>
          <w:i/>
          <w:sz w:val="22"/>
          <w:szCs w:val="22"/>
        </w:rPr>
        <w:t xml:space="preserve">Juventudes, políticas públicas y participación: un estudio de las producciones </w:t>
      </w:r>
      <w:proofErr w:type="spellStart"/>
      <w:r w:rsidR="00885107" w:rsidRPr="001F4D66">
        <w:rPr>
          <w:rFonts w:asciiTheme="minorHAnsi" w:hAnsiTheme="minorHAnsi" w:cstheme="minorHAnsi"/>
          <w:b w:val="0"/>
          <w:i/>
          <w:sz w:val="22"/>
          <w:szCs w:val="22"/>
        </w:rPr>
        <w:t>socioestatales</w:t>
      </w:r>
      <w:proofErr w:type="spellEnd"/>
      <w:r w:rsidR="00885107" w:rsidRPr="001F4D66">
        <w:rPr>
          <w:rFonts w:asciiTheme="minorHAnsi" w:hAnsiTheme="minorHAnsi" w:cstheme="minorHAnsi"/>
          <w:b w:val="0"/>
          <w:i/>
          <w:sz w:val="22"/>
          <w:szCs w:val="22"/>
        </w:rPr>
        <w:t xml:space="preserve"> de juventud en la Argentina reciente</w:t>
      </w:r>
      <w:r w:rsidR="00885107" w:rsidRPr="001F4D66">
        <w:rPr>
          <w:rFonts w:asciiTheme="minorHAnsi" w:hAnsiTheme="minorHAnsi" w:cstheme="minorHAnsi"/>
          <w:b w:val="0"/>
          <w:sz w:val="22"/>
          <w:szCs w:val="22"/>
        </w:rPr>
        <w:t>. Ciudad Autónoma de Buenos Aires: Grupo Editor Universitario.</w:t>
      </w:r>
    </w:p>
    <w:p w:rsidR="00381066" w:rsidRPr="001F4D66" w:rsidRDefault="005C345C" w:rsidP="00CC3DF9">
      <w:pPr>
        <w:pStyle w:val="Ttulo1"/>
        <w:shd w:val="clear" w:color="auto" w:fill="FFFFFF"/>
        <w:spacing w:before="0" w:beforeAutospacing="0" w:after="0" w:afterAutospacing="0" w:line="276" w:lineRule="auto"/>
        <w:ind w:left="709" w:hanging="851"/>
        <w:jc w:val="both"/>
        <w:textAlignment w:val="baseline"/>
        <w:rPr>
          <w:rFonts w:asciiTheme="minorHAnsi" w:hAnsiTheme="minorHAnsi" w:cstheme="minorHAnsi"/>
          <w:b w:val="0"/>
          <w:sz w:val="22"/>
          <w:szCs w:val="22"/>
        </w:rPr>
      </w:pPr>
      <w:r w:rsidRPr="001F4D66">
        <w:rPr>
          <w:rStyle w:val="Hipervnculo"/>
          <w:rFonts w:asciiTheme="minorHAnsi" w:hAnsiTheme="minorHAnsi" w:cstheme="minorHAnsi"/>
          <w:b w:val="0"/>
          <w:color w:val="auto"/>
          <w:sz w:val="22"/>
          <w:szCs w:val="22"/>
          <w:u w:val="none"/>
          <w:shd w:val="clear" w:color="auto" w:fill="FFFFFF"/>
        </w:rPr>
        <w:t xml:space="preserve">- </w:t>
      </w:r>
      <w:r w:rsidR="00885107" w:rsidRPr="001F4D66">
        <w:rPr>
          <w:rStyle w:val="Hipervnculo"/>
          <w:rFonts w:asciiTheme="minorHAnsi" w:hAnsiTheme="minorHAnsi" w:cstheme="minorHAnsi"/>
          <w:b w:val="0"/>
          <w:color w:val="auto"/>
          <w:sz w:val="22"/>
          <w:szCs w:val="22"/>
          <w:u w:val="none"/>
          <w:shd w:val="clear" w:color="auto" w:fill="FFFFFF"/>
        </w:rPr>
        <w:t>(2023</w:t>
      </w:r>
      <w:r w:rsidR="00381066" w:rsidRPr="001F4D66">
        <w:rPr>
          <w:rStyle w:val="Hipervnculo"/>
          <w:rFonts w:asciiTheme="minorHAnsi" w:hAnsiTheme="minorHAnsi" w:cstheme="minorHAnsi"/>
          <w:b w:val="0"/>
          <w:color w:val="auto"/>
          <w:sz w:val="22"/>
          <w:szCs w:val="22"/>
          <w:u w:val="none"/>
          <w:shd w:val="clear" w:color="auto" w:fill="FFFFFF"/>
        </w:rPr>
        <w:t>). “‘</w:t>
      </w:r>
      <w:r w:rsidR="00381066" w:rsidRPr="001F4D66">
        <w:rPr>
          <w:rFonts w:asciiTheme="minorHAnsi" w:hAnsiTheme="minorHAnsi" w:cstheme="minorHAnsi"/>
          <w:b w:val="0"/>
          <w:sz w:val="22"/>
          <w:szCs w:val="22"/>
        </w:rPr>
        <w:t xml:space="preserve">Ahora es nuestro tiempo’. Activismos juveniles en las nuevas derechas durante la pandemia (Argentina, 2020-2022)”, </w:t>
      </w:r>
      <w:r w:rsidR="00381066" w:rsidRPr="001F4D66">
        <w:rPr>
          <w:rFonts w:asciiTheme="minorHAnsi" w:hAnsiTheme="minorHAnsi" w:cstheme="minorHAnsi"/>
          <w:b w:val="0"/>
          <w:i/>
          <w:sz w:val="22"/>
          <w:szCs w:val="22"/>
        </w:rPr>
        <w:t>Iberoamericana</w:t>
      </w:r>
      <w:r w:rsidR="00381066" w:rsidRPr="001F4D66">
        <w:rPr>
          <w:rFonts w:asciiTheme="minorHAnsi" w:hAnsiTheme="minorHAnsi" w:cstheme="minorHAnsi"/>
          <w:b w:val="0"/>
          <w:sz w:val="22"/>
          <w:szCs w:val="22"/>
        </w:rPr>
        <w:t xml:space="preserve"> XXIII, 82: 117-137.</w:t>
      </w:r>
    </w:p>
    <w:p w:rsidR="005C345C" w:rsidRPr="001F4D66" w:rsidRDefault="005C345C" w:rsidP="00CC3DF9">
      <w:pPr>
        <w:spacing w:after="0" w:line="276" w:lineRule="auto"/>
        <w:ind w:left="709" w:hanging="851"/>
        <w:jc w:val="both"/>
        <w:rPr>
          <w:rFonts w:cstheme="minorHAnsi"/>
        </w:rPr>
      </w:pPr>
      <w:r w:rsidRPr="001F4D66">
        <w:rPr>
          <w:rFonts w:cstheme="minorHAnsi"/>
        </w:rPr>
        <w:t xml:space="preserve">Vázquez, M., </w:t>
      </w:r>
      <w:proofErr w:type="spellStart"/>
      <w:r w:rsidRPr="001F4D66">
        <w:rPr>
          <w:rFonts w:cstheme="minorHAnsi"/>
        </w:rPr>
        <w:t>Rocca</w:t>
      </w:r>
      <w:proofErr w:type="spellEnd"/>
      <w:r w:rsidRPr="001F4D66">
        <w:rPr>
          <w:rFonts w:cstheme="minorHAnsi"/>
        </w:rPr>
        <w:t xml:space="preserve"> Rivarola, D. y A. </w:t>
      </w:r>
      <w:proofErr w:type="spellStart"/>
      <w:r w:rsidRPr="001F4D66">
        <w:rPr>
          <w:rFonts w:cstheme="minorHAnsi"/>
        </w:rPr>
        <w:t>Cozachcow</w:t>
      </w:r>
      <w:proofErr w:type="spellEnd"/>
      <w:r w:rsidRPr="001F4D66">
        <w:rPr>
          <w:rFonts w:cstheme="minorHAnsi"/>
        </w:rPr>
        <w:t>. (2018). “Compromisos mi</w:t>
      </w:r>
      <w:r w:rsidRPr="001F4D66">
        <w:rPr>
          <w:rFonts w:cstheme="minorHAnsi"/>
        </w:rPr>
        <w:softHyphen/>
        <w:t xml:space="preserve">litantes en juventudes político-partidarias (Argentina, 2013-2015)”. </w:t>
      </w:r>
      <w:r w:rsidRPr="001F4D66">
        <w:rPr>
          <w:rFonts w:cstheme="minorHAnsi"/>
          <w:i/>
          <w:iCs/>
        </w:rPr>
        <w:t xml:space="preserve">Revista Mexicana de Sociología </w:t>
      </w:r>
      <w:r w:rsidRPr="001F4D66">
        <w:rPr>
          <w:rFonts w:cstheme="minorHAnsi"/>
        </w:rPr>
        <w:t>3(80): 519-548.</w:t>
      </w:r>
    </w:p>
    <w:p w:rsidR="00381066" w:rsidRPr="001F4D66" w:rsidRDefault="00381066" w:rsidP="00CC3DF9">
      <w:pPr>
        <w:autoSpaceDE w:val="0"/>
        <w:autoSpaceDN w:val="0"/>
        <w:adjustRightInd w:val="0"/>
        <w:spacing w:after="0" w:line="276" w:lineRule="auto"/>
        <w:ind w:left="709" w:right="-1" w:hanging="851"/>
        <w:jc w:val="both"/>
        <w:rPr>
          <w:rFonts w:cstheme="minorHAnsi"/>
        </w:rPr>
      </w:pPr>
      <w:proofErr w:type="spellStart"/>
      <w:r w:rsidRPr="001F4D66">
        <w:rPr>
          <w:rFonts w:cstheme="minorHAnsi"/>
          <w:shd w:val="clear" w:color="auto" w:fill="FFFFFF"/>
        </w:rPr>
        <w:t>Vommaro</w:t>
      </w:r>
      <w:proofErr w:type="spellEnd"/>
      <w:r w:rsidRPr="001F4D66">
        <w:rPr>
          <w:rFonts w:cstheme="minorHAnsi"/>
          <w:shd w:val="clear" w:color="auto" w:fill="FFFFFF"/>
        </w:rPr>
        <w:t xml:space="preserve">, P. (2015). </w:t>
      </w:r>
      <w:r w:rsidRPr="001F4D66">
        <w:rPr>
          <w:rFonts w:cstheme="minorHAnsi"/>
          <w:i/>
        </w:rPr>
        <w:t>Juventudes y políticas en la Argentina y en América Latina: tendencias, conflictos y desafíos</w:t>
      </w:r>
      <w:r w:rsidRPr="001F4D66">
        <w:rPr>
          <w:rFonts w:cstheme="minorHAnsi"/>
        </w:rPr>
        <w:t>. Ciudad Autónoma de Buenos Aires: Grupo Editor Universitario.</w:t>
      </w:r>
    </w:p>
    <w:p w:rsidR="00381066" w:rsidRPr="001F4D66" w:rsidRDefault="005C345C" w:rsidP="00CC3DF9">
      <w:pPr>
        <w:autoSpaceDE w:val="0"/>
        <w:autoSpaceDN w:val="0"/>
        <w:adjustRightInd w:val="0"/>
        <w:spacing w:after="0" w:line="276" w:lineRule="auto"/>
        <w:ind w:left="709" w:hanging="851"/>
        <w:jc w:val="both"/>
        <w:rPr>
          <w:rFonts w:cstheme="minorHAnsi"/>
        </w:rPr>
      </w:pPr>
      <w:proofErr w:type="spellStart"/>
      <w:r w:rsidRPr="001F4D66">
        <w:rPr>
          <w:rFonts w:cstheme="minorHAnsi"/>
        </w:rPr>
        <w:t>Zelizer</w:t>
      </w:r>
      <w:proofErr w:type="spellEnd"/>
      <w:r w:rsidRPr="001F4D66">
        <w:rPr>
          <w:rFonts w:cstheme="minorHAnsi"/>
        </w:rPr>
        <w:t>, V</w:t>
      </w:r>
      <w:r w:rsidR="00381066" w:rsidRPr="001F4D66">
        <w:rPr>
          <w:rFonts w:cstheme="minorHAnsi"/>
        </w:rPr>
        <w:t xml:space="preserve">. (2009). </w:t>
      </w:r>
      <w:r w:rsidR="00381066" w:rsidRPr="001F4D66">
        <w:rPr>
          <w:rFonts w:cstheme="minorHAnsi"/>
          <w:i/>
        </w:rPr>
        <w:t>La negociación de la Intimidad</w:t>
      </w:r>
      <w:r w:rsidR="00381066" w:rsidRPr="001F4D66">
        <w:rPr>
          <w:rFonts w:cstheme="minorHAnsi"/>
        </w:rPr>
        <w:t>, Fondo de Cultura Económica, Buenos Aires.</w:t>
      </w:r>
    </w:p>
    <w:p w:rsidR="00381066" w:rsidRPr="001F4D66" w:rsidRDefault="00381066" w:rsidP="00CC3DF9">
      <w:pPr>
        <w:spacing w:line="276" w:lineRule="auto"/>
        <w:ind w:left="709" w:hanging="851"/>
        <w:jc w:val="both"/>
        <w:rPr>
          <w:rFonts w:cstheme="minorHAnsi"/>
        </w:rPr>
      </w:pPr>
    </w:p>
    <w:sectPr w:rsidR="00381066" w:rsidRPr="001F4D66" w:rsidSect="00A13DCD">
      <w:headerReference w:type="default" r:id="rId7"/>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17E6" w:rsidRDefault="004517E6" w:rsidP="0011654B">
      <w:pPr>
        <w:spacing w:after="0" w:line="240" w:lineRule="auto"/>
      </w:pPr>
      <w:r>
        <w:separator/>
      </w:r>
    </w:p>
  </w:endnote>
  <w:endnote w:type="continuationSeparator" w:id="0">
    <w:p w:rsidR="004517E6" w:rsidRDefault="004517E6" w:rsidP="0011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sario">
    <w:altName w:val="Rosario"/>
    <w:panose1 w:val="00000000000000000000"/>
    <w:charset w:val="00"/>
    <w:family w:val="swiss"/>
    <w:notTrueType/>
    <w:pitch w:val="default"/>
    <w:sig w:usb0="00000003" w:usb1="00000000" w:usb2="00000000" w:usb3="00000000" w:csb0="00000001" w:csb1="00000000"/>
  </w:font>
  <w:font w:name="RotisSansSerif-Bold">
    <w:altName w:val="RotisSansSerif-Bold"/>
    <w:panose1 w:val="00000000000000000000"/>
    <w:charset w:val="00"/>
    <w:family w:val="roman"/>
    <w:notTrueType/>
    <w:pitch w:val="default"/>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17E6" w:rsidRDefault="004517E6" w:rsidP="0011654B">
      <w:pPr>
        <w:spacing w:after="0" w:line="240" w:lineRule="auto"/>
      </w:pPr>
      <w:r>
        <w:separator/>
      </w:r>
    </w:p>
  </w:footnote>
  <w:footnote w:type="continuationSeparator" w:id="0">
    <w:p w:rsidR="004517E6" w:rsidRDefault="004517E6" w:rsidP="0011654B">
      <w:pPr>
        <w:spacing w:after="0" w:line="240" w:lineRule="auto"/>
      </w:pPr>
      <w:r>
        <w:continuationSeparator/>
      </w:r>
    </w:p>
  </w:footnote>
  <w:footnote w:id="1">
    <w:p w:rsidR="00985021" w:rsidRPr="00381066" w:rsidRDefault="00985021" w:rsidP="00985021">
      <w:pPr>
        <w:pStyle w:val="Textonotapie"/>
        <w:jc w:val="both"/>
        <w:rPr>
          <w:rFonts w:cstheme="minorHAnsi"/>
        </w:rPr>
      </w:pPr>
      <w:r>
        <w:rPr>
          <w:rStyle w:val="Refdenotaalpie"/>
        </w:rPr>
        <w:footnoteRef/>
      </w:r>
      <w:r>
        <w:t xml:space="preserve"> </w:t>
      </w:r>
      <w:r w:rsidRPr="00381066">
        <w:rPr>
          <w:rFonts w:cstheme="minorHAnsi"/>
        </w:rPr>
        <w:t xml:space="preserve">Los nombres propios que están aquí consignados son ficticios, con el fin de mantener el anonimato de las personas que participan en estos espacios sociales. </w:t>
      </w:r>
    </w:p>
  </w:footnote>
  <w:footnote w:id="2">
    <w:p w:rsidR="00985021" w:rsidRPr="00985021" w:rsidRDefault="00985021" w:rsidP="00985021">
      <w:pPr>
        <w:pStyle w:val="Textonotapie"/>
        <w:jc w:val="both"/>
        <w:rPr>
          <w:rFonts w:cstheme="minorHAnsi"/>
        </w:rPr>
      </w:pPr>
      <w:r>
        <w:rPr>
          <w:rStyle w:val="Refdenotaalpie"/>
        </w:rPr>
        <w:footnoteRef/>
      </w:r>
      <w:r>
        <w:t xml:space="preserve"> </w:t>
      </w:r>
      <w:r w:rsidRPr="00985021">
        <w:rPr>
          <w:rFonts w:cstheme="minorHAnsi"/>
        </w:rPr>
        <w:t xml:space="preserve">La dictadura cívico-militar que comenzó en el año 1976 se caracterizó por un terrorismo de Estado que priorizó la mecánica del secuestro, la tortura y la posterior “desaparición” de personas. Esta mecánica alcanzó su punto culminante en el bienio 1976-1978 y se abatió principalmente sobre un “enemigo” joven en términos de edad (Manzano, 2017). Según el informe de la Comisión Nacional sobre la Desaparición de Personas (CONADEP), el 69% de los desaparecidos tenía entre 16 y 30 años en el momento del secuestro. Sumado a ello, se realizaron persecuciones masivas de estudiantes secundarios y universitarios (Manzano, 2017).  En 1976, la activista invitada militaba en la Unión de Estudiantes Secundarios y a sus 17 años, el 16 de septiembre de ese año, fue secuestrada por un comando del Ejército Argentino y estuvo detenida en la clandestinidad en la cárcel de Devoto hasta que cumplió 20 años. </w:t>
      </w:r>
    </w:p>
  </w:footnote>
  <w:footnote w:id="3">
    <w:p w:rsidR="00985021" w:rsidRPr="00985021" w:rsidRDefault="00985021" w:rsidP="00985021">
      <w:pPr>
        <w:spacing w:after="0" w:line="240" w:lineRule="auto"/>
        <w:jc w:val="both"/>
        <w:rPr>
          <w:rFonts w:cstheme="minorHAnsi"/>
        </w:rPr>
      </w:pPr>
      <w:r>
        <w:rPr>
          <w:rStyle w:val="Refdenotaalpie"/>
        </w:rPr>
        <w:footnoteRef/>
      </w:r>
      <w:r>
        <w:t xml:space="preserve"> </w:t>
      </w:r>
      <w:r w:rsidRPr="00985021">
        <w:rPr>
          <w:rFonts w:cstheme="minorHAnsi"/>
          <w:sz w:val="20"/>
          <w:szCs w:val="20"/>
        </w:rPr>
        <w:t>El III Foro Internacional de Derechos Humanos Argentina (del 20 al 24 de marzo de 2023), se realizó en la Ex Escuela de Mecánica de la Armada (ESMA) y fue organizado por CIPDH (Centro Internacional para la Promoción de los Derechos Humanos)– UNESCO y la  Secretaría de Derechos Humanos, Ministerio de Justicia y Derechos Humanos. El panel se realizó en “Espacio Educ.ar”</w:t>
      </w:r>
      <w:r>
        <w:rPr>
          <w:rFonts w:cstheme="minorHAnsi"/>
          <w:sz w:val="20"/>
          <w:szCs w:val="20"/>
        </w:rPr>
        <w:t xml:space="preserve"> cuyo </w:t>
      </w:r>
      <w:r w:rsidRPr="00985021">
        <w:rPr>
          <w:rFonts w:cstheme="minorHAnsi"/>
          <w:sz w:val="20"/>
          <w:szCs w:val="20"/>
        </w:rPr>
        <w:t>espacio</w:t>
      </w:r>
      <w:r>
        <w:rPr>
          <w:rFonts w:cstheme="minorHAnsi"/>
          <w:sz w:val="20"/>
          <w:szCs w:val="20"/>
        </w:rPr>
        <w:t xml:space="preserve"> estaba adornado con</w:t>
      </w:r>
      <w:r w:rsidRPr="00985021">
        <w:rPr>
          <w:rFonts w:cstheme="minorHAnsi"/>
          <w:sz w:val="20"/>
          <w:szCs w:val="20"/>
        </w:rPr>
        <w:t xml:space="preserve"> unos muñecos grandes, anuncian</w:t>
      </w:r>
      <w:r>
        <w:rPr>
          <w:rFonts w:cstheme="minorHAnsi"/>
          <w:sz w:val="20"/>
          <w:szCs w:val="20"/>
        </w:rPr>
        <w:t>do</w:t>
      </w:r>
      <w:r w:rsidRPr="00985021">
        <w:rPr>
          <w:rFonts w:cstheme="minorHAnsi"/>
          <w:sz w:val="20"/>
          <w:szCs w:val="20"/>
        </w:rPr>
        <w:t xml:space="preserve"> que se trata de un área del Espacio Memoria y Derechos Humanos destinado a</w:t>
      </w:r>
      <w:r>
        <w:rPr>
          <w:rFonts w:cstheme="minorHAnsi"/>
          <w:sz w:val="20"/>
          <w:szCs w:val="20"/>
        </w:rPr>
        <w:t xml:space="preserve"> dicho por</w:t>
      </w:r>
      <w:r w:rsidRPr="00985021">
        <w:rPr>
          <w:rFonts w:cstheme="minorHAnsi"/>
          <w:sz w:val="20"/>
          <w:szCs w:val="20"/>
        </w:rPr>
        <w:t>tal educativo del Ministerio de Educación de la Nación, sitio que aporta contenidos relacionados con las diversas áreas del conocimiento, con el propósito de promover la enseñanza y el aprendizaje.</w:t>
      </w:r>
    </w:p>
  </w:footnote>
  <w:footnote w:id="4">
    <w:p w:rsidR="00EB42E4" w:rsidRPr="0091560F" w:rsidRDefault="00EB42E4" w:rsidP="00EB42E4">
      <w:pPr>
        <w:pStyle w:val="Textonotapie"/>
        <w:jc w:val="both"/>
        <w:rPr>
          <w:rFonts w:cstheme="minorHAnsi"/>
        </w:rPr>
      </w:pPr>
      <w:r>
        <w:rPr>
          <w:rStyle w:val="Refdenotaalpie"/>
        </w:rPr>
        <w:footnoteRef/>
      </w:r>
      <w:r>
        <w:t xml:space="preserve"> </w:t>
      </w:r>
      <w:r w:rsidRPr="0091560F">
        <w:rPr>
          <w:rFonts w:cstheme="minorHAnsi"/>
        </w:rPr>
        <w:t>El CCAS comenzó a funcionar en el año 2020, reúne a 32 personas entre 13 y 17 años de edad, y se define como “un espacio de participación, consulta y diálogo intergeneracional para que chicas y chicos hagan oír su voz, opinen e incidan en las políticas públicas</w:t>
      </w:r>
      <w:r w:rsidRPr="0091560F">
        <w:rPr>
          <w:rFonts w:eastAsia="Arial Narrow" w:cstheme="minorHAnsi"/>
        </w:rPr>
        <w:t xml:space="preserve"> y los temas que les involucran” tal como se lee en la página de la SENAF.</w:t>
      </w:r>
    </w:p>
  </w:footnote>
  <w:footnote w:id="5">
    <w:p w:rsidR="00EB42E4" w:rsidRPr="00E543D3" w:rsidRDefault="00EB42E4" w:rsidP="00EB42E4">
      <w:pPr>
        <w:spacing w:after="0" w:line="240" w:lineRule="auto"/>
        <w:jc w:val="both"/>
        <w:rPr>
          <w:rFonts w:ascii="Arial" w:hAnsi="Arial" w:cs="Arial"/>
          <w:sz w:val="20"/>
          <w:szCs w:val="20"/>
        </w:rPr>
      </w:pPr>
      <w:r w:rsidRPr="0091560F">
        <w:rPr>
          <w:rStyle w:val="Refdenotaalpie"/>
          <w:rFonts w:cstheme="minorHAnsi"/>
          <w:sz w:val="20"/>
          <w:szCs w:val="20"/>
        </w:rPr>
        <w:footnoteRef/>
      </w:r>
      <w:r w:rsidRPr="0091560F">
        <w:rPr>
          <w:rFonts w:cstheme="minorHAnsi"/>
          <w:sz w:val="20"/>
          <w:szCs w:val="20"/>
        </w:rPr>
        <w:t xml:space="preserve"> Dicha red comienza a funcionar en el año 2021 y reúne a 140 jóvenes de diecisiete provincias del país de 13 a 17 años y articula estrategias de promoción de derechos humanos junto a la Defensoría de Derechos de Niños, Niñas y Adolescentes.</w:t>
      </w:r>
      <w:r>
        <w:rPr>
          <w:rFonts w:ascii="Arial" w:hAnsi="Arial" w:cs="Arial"/>
          <w:sz w:val="20"/>
          <w:szCs w:val="20"/>
        </w:rPr>
        <w:t xml:space="preserve"> </w:t>
      </w:r>
      <w:r w:rsidRPr="00E543D3">
        <w:rPr>
          <w:rFonts w:ascii="Arial" w:hAnsi="Arial" w:cs="Arial"/>
          <w:sz w:val="20"/>
          <w:szCs w:val="20"/>
        </w:rPr>
        <w:t xml:space="preserve"> </w:t>
      </w:r>
    </w:p>
  </w:footnote>
  <w:footnote w:id="6">
    <w:p w:rsidR="00381066" w:rsidRPr="00381066" w:rsidRDefault="00381066" w:rsidP="00381066">
      <w:pPr>
        <w:pStyle w:val="Textonotapie"/>
        <w:jc w:val="both"/>
        <w:rPr>
          <w:rFonts w:cstheme="minorHAnsi"/>
        </w:rPr>
      </w:pPr>
      <w:r w:rsidRPr="00381066">
        <w:rPr>
          <w:rStyle w:val="Refdenotaalpie"/>
          <w:rFonts w:cstheme="minorHAnsi"/>
        </w:rPr>
        <w:footnoteRef/>
      </w:r>
      <w:r w:rsidRPr="00381066">
        <w:rPr>
          <w:rFonts w:cstheme="minorHAnsi"/>
        </w:rPr>
        <w:t xml:space="preserve"> No es objetivo de este trabajo ahondar el análisis sobre la “</w:t>
      </w:r>
      <w:proofErr w:type="spellStart"/>
      <w:r w:rsidRPr="00381066">
        <w:rPr>
          <w:rFonts w:cstheme="minorHAnsi"/>
        </w:rPr>
        <w:t>ritualización</w:t>
      </w:r>
      <w:proofErr w:type="spellEnd"/>
      <w:r w:rsidRPr="00381066">
        <w:rPr>
          <w:rFonts w:cstheme="minorHAnsi"/>
        </w:rPr>
        <w:t xml:space="preserve">” pública de la memoria de la dictadura, para ello ver </w:t>
      </w:r>
      <w:proofErr w:type="spellStart"/>
      <w:r w:rsidRPr="00381066">
        <w:rPr>
          <w:rFonts w:cstheme="minorHAnsi"/>
        </w:rPr>
        <w:t>Jelin</w:t>
      </w:r>
      <w:proofErr w:type="spellEnd"/>
      <w:r w:rsidRPr="00381066">
        <w:rPr>
          <w:rFonts w:cstheme="minorHAnsi"/>
        </w:rPr>
        <w:t xml:space="preserve">, 2002; </w:t>
      </w:r>
      <w:proofErr w:type="spellStart"/>
      <w:r w:rsidRPr="00381066">
        <w:rPr>
          <w:rFonts w:cstheme="minorHAnsi"/>
        </w:rPr>
        <w:t>Guglielmucci</w:t>
      </w:r>
      <w:proofErr w:type="spellEnd"/>
      <w:r w:rsidRPr="00381066">
        <w:rPr>
          <w:rFonts w:cstheme="minorHAnsi"/>
        </w:rPr>
        <w:t>, 2013; Larralde Armas, 2018, entre otros.</w:t>
      </w:r>
    </w:p>
  </w:footnote>
  <w:footnote w:id="7">
    <w:p w:rsidR="00381066" w:rsidRPr="00381066" w:rsidRDefault="00381066" w:rsidP="00381066">
      <w:pPr>
        <w:pStyle w:val="Textonotapie"/>
        <w:jc w:val="both"/>
        <w:rPr>
          <w:rFonts w:cstheme="minorHAnsi"/>
        </w:rPr>
      </w:pPr>
      <w:r w:rsidRPr="00381066">
        <w:rPr>
          <w:rStyle w:val="Refdenotaalpie"/>
          <w:rFonts w:cstheme="minorHAnsi"/>
        </w:rPr>
        <w:footnoteRef/>
      </w:r>
      <w:r w:rsidRPr="00381066">
        <w:rPr>
          <w:rFonts w:cstheme="minorHAnsi"/>
        </w:rPr>
        <w:t xml:space="preserve"> En efecto, se asistió a una reevaluación positiva de una forma de activismo político, que a su vez fue criticada con el término “</w:t>
      </w:r>
      <w:proofErr w:type="spellStart"/>
      <w:r w:rsidRPr="00381066">
        <w:rPr>
          <w:rFonts w:cstheme="minorHAnsi"/>
        </w:rPr>
        <w:t>setentista</w:t>
      </w:r>
      <w:proofErr w:type="spellEnd"/>
      <w:r w:rsidRPr="00381066">
        <w:rPr>
          <w:rFonts w:cstheme="minorHAnsi"/>
        </w:rPr>
        <w:t xml:space="preserve">”. La celebración contemporánea de los militantes de los setentas que conformaban la Juventud Peronista u otros movimientos aliados se expresó también en que los propios Néstor Kirchner y Cristina Fernández de Kirchner, se presentaron a sí mismos como ex militantes de los setenta, ya que conformaron el movimiento juvenil combativo en La Plata. Agrupaciones </w:t>
      </w:r>
      <w:proofErr w:type="spellStart"/>
      <w:r w:rsidRPr="00381066">
        <w:rPr>
          <w:rFonts w:cstheme="minorHAnsi"/>
        </w:rPr>
        <w:t>kichneristas</w:t>
      </w:r>
      <w:proofErr w:type="spellEnd"/>
      <w:r w:rsidRPr="00381066">
        <w:rPr>
          <w:rFonts w:cstheme="minorHAnsi"/>
        </w:rPr>
        <w:t xml:space="preserve"> juveniles como La </w:t>
      </w:r>
      <w:proofErr w:type="spellStart"/>
      <w:r w:rsidRPr="00381066">
        <w:rPr>
          <w:rFonts w:cstheme="minorHAnsi"/>
        </w:rPr>
        <w:t>Cámpora</w:t>
      </w:r>
      <w:proofErr w:type="spellEnd"/>
      <w:r w:rsidRPr="00381066">
        <w:rPr>
          <w:rFonts w:cstheme="minorHAnsi"/>
        </w:rPr>
        <w:t xml:space="preserve"> también se asocian discursivamente con los grupos juveniles de esa década (Lazar, 2019; Vázquez, 201</w:t>
      </w:r>
      <w:r w:rsidR="00F87CC5">
        <w:rPr>
          <w:rFonts w:cstheme="minorHAnsi"/>
        </w:rPr>
        <w:t>4</w:t>
      </w:r>
      <w:r w:rsidRPr="00381066">
        <w:rPr>
          <w:rFonts w:cstheme="minorHAnsi"/>
        </w:rPr>
        <w:t xml:space="preserve">). </w:t>
      </w:r>
    </w:p>
  </w:footnote>
  <w:footnote w:id="8">
    <w:p w:rsidR="00381066" w:rsidRDefault="00381066" w:rsidP="00381066">
      <w:pPr>
        <w:pStyle w:val="Textonotapie"/>
        <w:jc w:val="both"/>
      </w:pPr>
      <w:r w:rsidRPr="00381066">
        <w:rPr>
          <w:rStyle w:val="Refdenotaalpie"/>
          <w:rFonts w:cstheme="minorHAnsi"/>
        </w:rPr>
        <w:footnoteRef/>
      </w:r>
      <w:r w:rsidRPr="00381066">
        <w:rPr>
          <w:rFonts w:cstheme="minorHAnsi"/>
        </w:rPr>
        <w:t xml:space="preserve"> Fernando </w:t>
      </w:r>
      <w:proofErr w:type="spellStart"/>
      <w:r w:rsidRPr="00381066">
        <w:rPr>
          <w:rFonts w:cstheme="minorHAnsi"/>
        </w:rPr>
        <w:t>Balbi</w:t>
      </w:r>
      <w:proofErr w:type="spellEnd"/>
      <w:r w:rsidRPr="00381066">
        <w:rPr>
          <w:rFonts w:cstheme="minorHAnsi"/>
        </w:rPr>
        <w:t xml:space="preserve"> (2008) plantea que la lealtad es un valor moral específicamente peronista, de la praxis peronista, esto es, propio de los adherentes de la principal tendencia política nacional de los últimos sesenta años, el peronismo o justicialismo, fuerza política que surgió en la década del 40 del siglo pasado, cuyo fundador y líder histórico es Juan Domingo Perón. Se trata de una corriente política compleja y heterogénea, cuyos adeptos lo identifican como un movimiento compuesto por una amplia variedad de organizaciones partidarias y no partidarias. </w:t>
      </w:r>
    </w:p>
  </w:footnote>
  <w:footnote w:id="9">
    <w:p w:rsidR="00381066" w:rsidRPr="00EB2A7F" w:rsidRDefault="00381066" w:rsidP="00381066">
      <w:pPr>
        <w:pStyle w:val="Textonotapie"/>
        <w:jc w:val="both"/>
        <w:rPr>
          <w:rFonts w:ascii="Arial" w:hAnsi="Arial" w:cs="Arial"/>
        </w:rPr>
      </w:pPr>
      <w:r>
        <w:rPr>
          <w:rStyle w:val="Refdenotaalpie"/>
        </w:rPr>
        <w:footnoteRef/>
      </w:r>
      <w:r>
        <w:t xml:space="preserve"> </w:t>
      </w:r>
      <w:r w:rsidRPr="00381066">
        <w:rPr>
          <w:rFonts w:cstheme="minorHAnsi"/>
        </w:rPr>
        <w:t>En septiembre del año pasado, 2022, la vicepresidenta de nuestro país fue apuntada en la cabeza con un arma por un hombre que se acercó confundido entre otras personas que querían saludarla. Algunas voces calificaron el hecho de magnicidio, otros de atentado y otros de ataque.</w:t>
      </w:r>
      <w:r w:rsidRPr="00EB2A7F">
        <w:rPr>
          <w:rFonts w:ascii="Arial" w:hAnsi="Arial" w:cs="Arial"/>
        </w:rPr>
        <w:t xml:space="preserve"> </w:t>
      </w:r>
    </w:p>
  </w:footnote>
  <w:footnote w:id="10">
    <w:p w:rsidR="00381066" w:rsidRPr="00381066" w:rsidRDefault="00381066" w:rsidP="00381066">
      <w:pPr>
        <w:pStyle w:val="Textonotapie"/>
        <w:jc w:val="both"/>
        <w:rPr>
          <w:rFonts w:cstheme="minorHAnsi"/>
        </w:rPr>
      </w:pPr>
      <w:r>
        <w:rPr>
          <w:rStyle w:val="Refdenotaalpie"/>
        </w:rPr>
        <w:footnoteRef/>
      </w:r>
      <w:r>
        <w:t xml:space="preserve"> </w:t>
      </w:r>
      <w:r w:rsidRPr="00381066">
        <w:rPr>
          <w:rFonts w:cstheme="minorHAnsi"/>
        </w:rPr>
        <w:t>El uso de términos vinculados al parentesco y las relaciones familiares para pensar las dinámicas de los lazos sociales dentro del peronismo no es una cuestión inédita. Valeria Manzano analiza “la novela familiar” que se suscita entre fines de los ’60 y principios de los ’70, período de radicalización de la política argentina y sus efectos en el peronismo: “el peronismo suministró un marco de referencia para interpelar a los jóvenes como ‘juventud’ y también para codificar las diferencias políticas e ideológicas en un encuadramiento generacional. Este proceso entrañó la reafirmación de la ‘juventud’ como categoría legítima y la construcción de los jóvenes como actores políticos decisivos. Pero además implicó la posibilidad de escenificar una novela familiar en torno a la disputa por el ejercicio de la autoridad. En esta novela, los sectores revolucionarios (cualquiera fueran las edades de sus integrantes) fueron posicionados como ‘juventud’” (2017:300).</w:t>
      </w:r>
    </w:p>
  </w:footnote>
  <w:footnote w:id="11">
    <w:p w:rsidR="00381066" w:rsidRPr="00381066" w:rsidRDefault="00381066" w:rsidP="00381066">
      <w:pPr>
        <w:spacing w:line="240" w:lineRule="auto"/>
        <w:jc w:val="both"/>
        <w:rPr>
          <w:rFonts w:cstheme="minorHAnsi"/>
          <w:sz w:val="20"/>
          <w:szCs w:val="20"/>
        </w:rPr>
      </w:pPr>
      <w:r w:rsidRPr="00381066">
        <w:rPr>
          <w:rStyle w:val="Refdenotaalpie"/>
          <w:rFonts w:cstheme="minorHAnsi"/>
          <w:sz w:val="20"/>
          <w:szCs w:val="20"/>
        </w:rPr>
        <w:footnoteRef/>
      </w:r>
      <w:r w:rsidRPr="00381066">
        <w:rPr>
          <w:rFonts w:cstheme="minorHAnsi"/>
          <w:sz w:val="20"/>
          <w:szCs w:val="20"/>
        </w:rPr>
        <w:t xml:space="preserve"> Sian Lazar (2023) retoma la categoría “</w:t>
      </w:r>
      <w:proofErr w:type="spellStart"/>
      <w:r w:rsidRPr="00381066">
        <w:rPr>
          <w:rFonts w:cstheme="minorHAnsi"/>
          <w:i/>
          <w:sz w:val="20"/>
          <w:szCs w:val="20"/>
        </w:rPr>
        <w:t>amity</w:t>
      </w:r>
      <w:proofErr w:type="spellEnd"/>
      <w:r w:rsidRPr="00381066">
        <w:rPr>
          <w:rFonts w:cstheme="minorHAnsi"/>
          <w:sz w:val="20"/>
          <w:szCs w:val="20"/>
        </w:rPr>
        <w:t>” –concordia- que Pitt-</w:t>
      </w:r>
      <w:proofErr w:type="spellStart"/>
      <w:r w:rsidRPr="00381066">
        <w:rPr>
          <w:rFonts w:cstheme="minorHAnsi"/>
          <w:sz w:val="20"/>
          <w:szCs w:val="20"/>
        </w:rPr>
        <w:t>Rivers</w:t>
      </w:r>
      <w:proofErr w:type="spellEnd"/>
      <w:r w:rsidRPr="00381066">
        <w:rPr>
          <w:rFonts w:cstheme="minorHAnsi"/>
          <w:sz w:val="20"/>
          <w:szCs w:val="20"/>
        </w:rPr>
        <w:t xml:space="preserve"> conceptualiza como una noción que incomoda la distinción entre parentesco y amistad. Para la autora, la concordia, la consustancialidad y la mutualidad del ser son categorías que permiten dar cuenta de las conexiones de parientes fundamentales para la organización política sindical. </w:t>
      </w:r>
    </w:p>
    <w:p w:rsidR="00381066" w:rsidRDefault="00381066" w:rsidP="00381066">
      <w:pPr>
        <w:pStyle w:val="Textonotapie"/>
      </w:pPr>
    </w:p>
  </w:footnote>
  <w:footnote w:id="12">
    <w:p w:rsidR="00381066" w:rsidRPr="007E3771" w:rsidRDefault="00381066" w:rsidP="00381066">
      <w:pPr>
        <w:autoSpaceDE w:val="0"/>
        <w:autoSpaceDN w:val="0"/>
        <w:adjustRightInd w:val="0"/>
        <w:spacing w:after="0" w:line="240" w:lineRule="auto"/>
        <w:jc w:val="both"/>
        <w:rPr>
          <w:rFonts w:ascii="Arial" w:hAnsi="Arial" w:cs="Arial"/>
          <w:sz w:val="20"/>
          <w:szCs w:val="20"/>
        </w:rPr>
      </w:pPr>
      <w:r>
        <w:rPr>
          <w:rStyle w:val="Refdenotaalpie"/>
        </w:rPr>
        <w:footnoteRef/>
      </w:r>
      <w:r>
        <w:t xml:space="preserve"> </w:t>
      </w:r>
      <w:r w:rsidRPr="00381066">
        <w:rPr>
          <w:rFonts w:cstheme="minorHAnsi"/>
          <w:sz w:val="20"/>
          <w:szCs w:val="20"/>
        </w:rPr>
        <w:t xml:space="preserve">Señala Sara Ahmed (2014) que las emociones tienen una calidad pública que hace que aprendamos a reconocer sus signos (acciones, gestos, entonaciones) y que, por lo tanto, no necesariamente deben ser nombradas con términos que den cuenta a cuáles nos referimos. </w:t>
      </w:r>
    </w:p>
    <w:p w:rsidR="00381066" w:rsidRDefault="00381066" w:rsidP="00381066">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27A" w:rsidRPr="0067527A" w:rsidRDefault="0067527A" w:rsidP="0067527A">
    <w:pPr>
      <w:jc w:val="center"/>
      <w:rPr>
        <w:rFonts w:ascii="Times New Roman" w:hAnsi="Times New Roman" w:cs="Times New Roman"/>
        <w:sz w:val="24"/>
        <w:szCs w:val="24"/>
      </w:rPr>
    </w:pPr>
    <w:r>
      <w:rPr>
        <w:rStyle w:val="Textoennegrita"/>
        <w:rFonts w:ascii="Helvetica" w:hAnsi="Helvetica" w:cs="Helvetica"/>
        <w:color w:val="1D2228"/>
        <w:sz w:val="20"/>
        <w:szCs w:val="20"/>
        <w:shd w:val="clear" w:color="auto" w:fill="FFFFFF"/>
      </w:rPr>
      <w:t>XVI Jornadas Rosarinas de Antropología 2023</w:t>
    </w:r>
  </w:p>
  <w:p w:rsidR="0011654B" w:rsidRDefault="0011654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54B"/>
    <w:rsid w:val="00061D39"/>
    <w:rsid w:val="000B373E"/>
    <w:rsid w:val="000C446C"/>
    <w:rsid w:val="000D24F1"/>
    <w:rsid w:val="000D4FAB"/>
    <w:rsid w:val="000E15D0"/>
    <w:rsid w:val="0011654B"/>
    <w:rsid w:val="001B04D7"/>
    <w:rsid w:val="001F4D66"/>
    <w:rsid w:val="001F545B"/>
    <w:rsid w:val="00202D2E"/>
    <w:rsid w:val="002412A4"/>
    <w:rsid w:val="00244145"/>
    <w:rsid w:val="002472BA"/>
    <w:rsid w:val="002B491D"/>
    <w:rsid w:val="002F545E"/>
    <w:rsid w:val="002F7A63"/>
    <w:rsid w:val="0035497E"/>
    <w:rsid w:val="00381066"/>
    <w:rsid w:val="00396E8F"/>
    <w:rsid w:val="003B7661"/>
    <w:rsid w:val="003C4E54"/>
    <w:rsid w:val="003D2DE8"/>
    <w:rsid w:val="003F3189"/>
    <w:rsid w:val="004517E6"/>
    <w:rsid w:val="004D3B0F"/>
    <w:rsid w:val="00524227"/>
    <w:rsid w:val="00536FF1"/>
    <w:rsid w:val="00590A17"/>
    <w:rsid w:val="005C345C"/>
    <w:rsid w:val="005F2CED"/>
    <w:rsid w:val="005F4C12"/>
    <w:rsid w:val="00646CD4"/>
    <w:rsid w:val="006635C2"/>
    <w:rsid w:val="00673C4F"/>
    <w:rsid w:val="0067527A"/>
    <w:rsid w:val="00676E09"/>
    <w:rsid w:val="006B76C2"/>
    <w:rsid w:val="006E2F55"/>
    <w:rsid w:val="007269EB"/>
    <w:rsid w:val="00750FCB"/>
    <w:rsid w:val="007826F1"/>
    <w:rsid w:val="007A768A"/>
    <w:rsid w:val="008572DB"/>
    <w:rsid w:val="00885107"/>
    <w:rsid w:val="008B37D1"/>
    <w:rsid w:val="008D436B"/>
    <w:rsid w:val="0091560F"/>
    <w:rsid w:val="00935176"/>
    <w:rsid w:val="00941B01"/>
    <w:rsid w:val="00960412"/>
    <w:rsid w:val="00985021"/>
    <w:rsid w:val="009D25B7"/>
    <w:rsid w:val="00A001D3"/>
    <w:rsid w:val="00A13DCD"/>
    <w:rsid w:val="00A76184"/>
    <w:rsid w:val="00AB48CC"/>
    <w:rsid w:val="00AD1DDE"/>
    <w:rsid w:val="00B97E8A"/>
    <w:rsid w:val="00C45F1E"/>
    <w:rsid w:val="00CC3DF9"/>
    <w:rsid w:val="00CC5B12"/>
    <w:rsid w:val="00D0571D"/>
    <w:rsid w:val="00EB42E4"/>
    <w:rsid w:val="00ED6D07"/>
    <w:rsid w:val="00F87CC5"/>
    <w:rsid w:val="00F96D91"/>
    <w:rsid w:val="00FD454F"/>
    <w:rsid w:val="00FF4D4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1D82A-83E0-4EDA-ADBD-191FB26BD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54B"/>
  </w:style>
  <w:style w:type="paragraph" w:styleId="Ttulo1">
    <w:name w:val="heading 1"/>
    <w:basedOn w:val="Normal"/>
    <w:link w:val="Ttulo1Car"/>
    <w:uiPriority w:val="9"/>
    <w:qFormat/>
    <w:rsid w:val="003810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65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654B"/>
  </w:style>
  <w:style w:type="paragraph" w:styleId="Piedepgina">
    <w:name w:val="footer"/>
    <w:basedOn w:val="Normal"/>
    <w:link w:val="PiedepginaCar"/>
    <w:uiPriority w:val="99"/>
    <w:unhideWhenUsed/>
    <w:rsid w:val="001165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654B"/>
  </w:style>
  <w:style w:type="character" w:styleId="Textoennegrita">
    <w:name w:val="Strong"/>
    <w:basedOn w:val="Fuentedeprrafopredeter"/>
    <w:uiPriority w:val="22"/>
    <w:qFormat/>
    <w:rsid w:val="0011654B"/>
    <w:rPr>
      <w:b/>
      <w:bCs/>
    </w:rPr>
  </w:style>
  <w:style w:type="paragraph" w:styleId="Textonotapie">
    <w:name w:val="footnote text"/>
    <w:aliases w:val="Footnote Text.SES,Fußnotentext Char Char,Fußnotentext Char Char Char Char,Fußnotentext Char Char Char Char Char Char Char,Fußnotentext Char Char Char,Fußnotentext Char Char Char Char Char Char Char Char Char Char Char Char Char Char,fn, C"/>
    <w:basedOn w:val="Normal"/>
    <w:link w:val="TextonotapieCar"/>
    <w:unhideWhenUsed/>
    <w:rsid w:val="00381066"/>
    <w:pPr>
      <w:spacing w:after="0" w:line="240" w:lineRule="auto"/>
    </w:pPr>
    <w:rPr>
      <w:sz w:val="20"/>
      <w:szCs w:val="20"/>
    </w:rPr>
  </w:style>
  <w:style w:type="character" w:customStyle="1" w:styleId="TextonotapieCar">
    <w:name w:val="Texto nota pie Car"/>
    <w:aliases w:val="Footnote Text.SES Car,Fußnotentext Char Char Car,Fußnotentext Char Char Char Char Car,Fußnotentext Char Char Char Char Char Char Char Car,Fußnotentext Char Char Char Car,fn Car, C Car"/>
    <w:basedOn w:val="Fuentedeprrafopredeter"/>
    <w:link w:val="Textonotapie"/>
    <w:rsid w:val="00381066"/>
    <w:rPr>
      <w:sz w:val="20"/>
      <w:szCs w:val="20"/>
    </w:rPr>
  </w:style>
  <w:style w:type="character" w:styleId="Refdenotaalpie">
    <w:name w:val="footnote reference"/>
    <w:basedOn w:val="Fuentedeprrafopredeter"/>
    <w:uiPriority w:val="99"/>
    <w:semiHidden/>
    <w:unhideWhenUsed/>
    <w:rsid w:val="00381066"/>
    <w:rPr>
      <w:vertAlign w:val="superscript"/>
    </w:rPr>
  </w:style>
  <w:style w:type="character" w:customStyle="1" w:styleId="Ttulo1Car">
    <w:name w:val="Título 1 Car"/>
    <w:basedOn w:val="Fuentedeprrafopredeter"/>
    <w:link w:val="Ttulo1"/>
    <w:uiPriority w:val="9"/>
    <w:rsid w:val="00381066"/>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unhideWhenUsed/>
    <w:rsid w:val="00381066"/>
    <w:rPr>
      <w:color w:val="0563C1" w:themeColor="hyperlink"/>
      <w:u w:val="single"/>
    </w:rPr>
  </w:style>
  <w:style w:type="paragraph" w:customStyle="1" w:styleId="Default">
    <w:name w:val="Default"/>
    <w:rsid w:val="00381066"/>
    <w:pPr>
      <w:autoSpaceDE w:val="0"/>
      <w:autoSpaceDN w:val="0"/>
      <w:adjustRightInd w:val="0"/>
      <w:spacing w:after="0" w:line="240" w:lineRule="auto"/>
    </w:pPr>
    <w:rPr>
      <w:rFonts w:ascii="Rosario" w:hAnsi="Rosario" w:cs="Rosario"/>
      <w:color w:val="000000"/>
      <w:sz w:val="24"/>
      <w:szCs w:val="24"/>
    </w:rPr>
  </w:style>
  <w:style w:type="character" w:customStyle="1" w:styleId="A6">
    <w:name w:val="A6"/>
    <w:uiPriority w:val="99"/>
    <w:rsid w:val="00381066"/>
    <w:rPr>
      <w:rFonts w:cs="Rosario"/>
      <w:i/>
      <w:iCs/>
      <w:color w:val="000000"/>
      <w:sz w:val="18"/>
      <w:szCs w:val="18"/>
    </w:rPr>
  </w:style>
  <w:style w:type="paragraph" w:styleId="Bibliografa">
    <w:name w:val="Bibliography"/>
    <w:basedOn w:val="Normal"/>
    <w:next w:val="Normal"/>
    <w:uiPriority w:val="37"/>
    <w:semiHidden/>
    <w:unhideWhenUsed/>
    <w:rsid w:val="00381066"/>
  </w:style>
  <w:style w:type="character" w:customStyle="1" w:styleId="A0">
    <w:name w:val="A0"/>
    <w:uiPriority w:val="99"/>
    <w:rsid w:val="00885107"/>
    <w:rPr>
      <w:rFonts w:cs="RotisSansSerif-Bold"/>
      <w:color w:val="000000"/>
      <w:sz w:val="18"/>
      <w:szCs w:val="18"/>
    </w:rPr>
  </w:style>
  <w:style w:type="paragraph" w:customStyle="1" w:styleId="Cuerpo">
    <w:name w:val="Cuerpo"/>
    <w:rsid w:val="009D25B7"/>
    <w:pPr>
      <w:pBdr>
        <w:top w:val="nil"/>
        <w:left w:val="nil"/>
        <w:bottom w:val="nil"/>
        <w:right w:val="nil"/>
        <w:between w:val="nil"/>
        <w:bar w:val="nil"/>
      </w:pBdr>
    </w:pPr>
    <w:rPr>
      <w:rFonts w:ascii="Calibri" w:eastAsia="Calibri" w:hAnsi="Calibri" w:cs="Calibri"/>
      <w:color w:val="000000"/>
      <w:u w:color="000000"/>
      <w:bdr w:val="nil"/>
      <w:lang w:val="en-US"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2801C-63FE-45D7-99F8-08F39D13B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3285</TotalTime>
  <Pages>11</Pages>
  <Words>5622</Words>
  <Characters>30927</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12</cp:revision>
  <dcterms:created xsi:type="dcterms:W3CDTF">2024-03-22T14:12:00Z</dcterms:created>
  <dcterms:modified xsi:type="dcterms:W3CDTF">2024-04-26T21:35:00Z</dcterms:modified>
</cp:coreProperties>
</file>