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32538" w14:textId="77777777" w:rsidR="00483C5B" w:rsidRPr="00D16336" w:rsidRDefault="00483C5B" w:rsidP="00483C5B">
      <w:pPr>
        <w:pStyle w:val="NormalWeb"/>
        <w:spacing w:before="0" w:beforeAutospacing="0" w:after="0" w:afterAutospacing="0"/>
        <w:jc w:val="center"/>
        <w:rPr>
          <w:b/>
          <w:bCs/>
          <w:color w:val="70AD47" w:themeColor="accent6"/>
        </w:rPr>
      </w:pPr>
      <w:r w:rsidRPr="00D16336">
        <w:rPr>
          <w:b/>
          <w:bCs/>
          <w:color w:val="70AD47" w:themeColor="accent6"/>
          <w:sz w:val="20"/>
          <w:szCs w:val="20"/>
        </w:rPr>
        <w:t>Facultad de Humanidades y Artes – UNR</w:t>
      </w:r>
    </w:p>
    <w:p w14:paraId="26B796C2" w14:textId="77777777" w:rsidR="00483C5B" w:rsidRPr="00D16336" w:rsidRDefault="00483C5B" w:rsidP="00483C5B">
      <w:pPr>
        <w:pStyle w:val="NormalWeb"/>
        <w:spacing w:before="0" w:beforeAutospacing="0" w:after="0" w:afterAutospacing="0"/>
        <w:jc w:val="center"/>
        <w:rPr>
          <w:b/>
          <w:bCs/>
          <w:color w:val="70AD47" w:themeColor="accent6"/>
        </w:rPr>
      </w:pPr>
      <w:r w:rsidRPr="00D16336">
        <w:rPr>
          <w:b/>
          <w:bCs/>
          <w:color w:val="70AD47" w:themeColor="accent6"/>
          <w:sz w:val="20"/>
          <w:szCs w:val="20"/>
        </w:rPr>
        <w:t>Escuela de Antropología</w:t>
      </w:r>
    </w:p>
    <w:p w14:paraId="6C1F59E7" w14:textId="77777777" w:rsidR="00483C5B" w:rsidRPr="00D16336" w:rsidRDefault="00483C5B" w:rsidP="00483C5B">
      <w:pPr>
        <w:pStyle w:val="NormalWeb"/>
        <w:spacing w:before="0" w:beforeAutospacing="0" w:after="0" w:afterAutospacing="0"/>
        <w:jc w:val="center"/>
        <w:rPr>
          <w:b/>
          <w:bCs/>
          <w:color w:val="70AD47" w:themeColor="accent6"/>
        </w:rPr>
      </w:pPr>
      <w:r w:rsidRPr="00D16336">
        <w:rPr>
          <w:b/>
          <w:bCs/>
          <w:color w:val="70AD47" w:themeColor="accent6"/>
          <w:sz w:val="20"/>
          <w:szCs w:val="20"/>
        </w:rPr>
        <w:t>Corrientes Antropológicas I</w:t>
      </w:r>
    </w:p>
    <w:p w14:paraId="09C8F36C" w14:textId="77777777" w:rsidR="00483C5B" w:rsidRPr="00D16336" w:rsidRDefault="00483C5B" w:rsidP="00483C5B">
      <w:pPr>
        <w:pStyle w:val="NormalWeb"/>
        <w:spacing w:before="0" w:beforeAutospacing="0" w:after="0" w:afterAutospacing="0"/>
        <w:jc w:val="center"/>
        <w:rPr>
          <w:b/>
          <w:bCs/>
          <w:color w:val="70AD47" w:themeColor="accent6"/>
        </w:rPr>
      </w:pPr>
      <w:r w:rsidRPr="00D16336">
        <w:rPr>
          <w:b/>
          <w:bCs/>
          <w:color w:val="70AD47" w:themeColor="accent6"/>
          <w:sz w:val="20"/>
          <w:szCs w:val="20"/>
        </w:rPr>
        <w:t>Unidad II: El evolucionismo clásico</w:t>
      </w:r>
    </w:p>
    <w:p w14:paraId="2C9DD422" w14:textId="42EA1A20" w:rsidR="00C36715" w:rsidRDefault="00C36715" w:rsidP="00483C5B">
      <w:pPr>
        <w:spacing w:after="0" w:line="240" w:lineRule="auto"/>
        <w:jc w:val="center"/>
        <w:rPr>
          <w:rFonts w:ascii="Arial" w:hAnsi="Arial" w:cs="Arial"/>
          <w:b/>
          <w:bCs/>
          <w:sz w:val="32"/>
          <w:szCs w:val="32"/>
        </w:rPr>
      </w:pPr>
    </w:p>
    <w:p w14:paraId="29F90F39" w14:textId="77777777" w:rsidR="00483C5B" w:rsidRDefault="00483C5B" w:rsidP="00483C5B">
      <w:pPr>
        <w:spacing w:after="0" w:line="240" w:lineRule="auto"/>
        <w:jc w:val="center"/>
        <w:rPr>
          <w:rFonts w:ascii="Arial" w:hAnsi="Arial" w:cs="Arial"/>
          <w:b/>
          <w:bCs/>
          <w:sz w:val="32"/>
          <w:szCs w:val="32"/>
        </w:rPr>
      </w:pPr>
    </w:p>
    <w:p w14:paraId="699F990D" w14:textId="23B5C77C" w:rsidR="00C36715" w:rsidRDefault="00C36715" w:rsidP="00C36715">
      <w:pPr>
        <w:jc w:val="center"/>
        <w:rPr>
          <w:rFonts w:ascii="Arial" w:hAnsi="Arial" w:cs="Arial"/>
          <w:b/>
          <w:bCs/>
          <w:sz w:val="32"/>
          <w:szCs w:val="32"/>
        </w:rPr>
      </w:pPr>
      <w:r>
        <w:rPr>
          <w:rFonts w:ascii="Arial" w:hAnsi="Arial" w:cs="Arial"/>
          <w:b/>
          <w:bCs/>
          <w:sz w:val="32"/>
          <w:szCs w:val="32"/>
        </w:rPr>
        <w:t>La perspectiva evolucionista de Lewis Henry Morgan (</w:t>
      </w:r>
      <w:r w:rsidR="008F1354">
        <w:rPr>
          <w:rFonts w:ascii="Arial" w:hAnsi="Arial" w:cs="Arial"/>
          <w:b/>
          <w:bCs/>
          <w:sz w:val="32"/>
          <w:szCs w:val="32"/>
        </w:rPr>
        <w:t xml:space="preserve">Segunda </w:t>
      </w:r>
      <w:r>
        <w:rPr>
          <w:rFonts w:ascii="Arial" w:hAnsi="Arial" w:cs="Arial"/>
          <w:b/>
          <w:bCs/>
          <w:sz w:val="32"/>
          <w:szCs w:val="32"/>
        </w:rPr>
        <w:t>Parte)</w:t>
      </w:r>
    </w:p>
    <w:p w14:paraId="2ABF6AC8" w14:textId="0350E47B" w:rsidR="00C36715" w:rsidRDefault="00C36715" w:rsidP="00483C5B">
      <w:pPr>
        <w:spacing w:after="0" w:line="240" w:lineRule="auto"/>
        <w:jc w:val="right"/>
        <w:rPr>
          <w:rFonts w:ascii="Arial" w:hAnsi="Arial" w:cs="Arial"/>
          <w:b/>
          <w:bCs/>
          <w:sz w:val="24"/>
          <w:szCs w:val="24"/>
        </w:rPr>
      </w:pPr>
      <w:r>
        <w:rPr>
          <w:rFonts w:ascii="Arial" w:hAnsi="Arial" w:cs="Arial"/>
          <w:b/>
          <w:bCs/>
          <w:sz w:val="24"/>
          <w:szCs w:val="24"/>
        </w:rPr>
        <w:t>Por Silvana Sanchez</w:t>
      </w:r>
    </w:p>
    <w:p w14:paraId="5159E84C" w14:textId="3BC91E0D" w:rsidR="00483C5B" w:rsidRPr="00E4758D" w:rsidRDefault="009A5A4B" w:rsidP="00483C5B">
      <w:pPr>
        <w:spacing w:after="0" w:line="240" w:lineRule="auto"/>
        <w:jc w:val="right"/>
        <w:rPr>
          <w:rFonts w:ascii="Arial" w:hAnsi="Arial" w:cs="Arial"/>
          <w:b/>
          <w:bCs/>
          <w:sz w:val="24"/>
          <w:szCs w:val="24"/>
        </w:rPr>
      </w:pPr>
      <w:r>
        <w:rPr>
          <w:rFonts w:ascii="Arial" w:hAnsi="Arial" w:cs="Arial"/>
          <w:b/>
          <w:bCs/>
          <w:sz w:val="24"/>
          <w:szCs w:val="24"/>
        </w:rPr>
        <w:t>Junio</w:t>
      </w:r>
      <w:r w:rsidR="00483C5B">
        <w:rPr>
          <w:rFonts w:ascii="Arial" w:hAnsi="Arial" w:cs="Arial"/>
          <w:b/>
          <w:bCs/>
          <w:sz w:val="24"/>
          <w:szCs w:val="24"/>
        </w:rPr>
        <w:t xml:space="preserve"> de 2021</w:t>
      </w:r>
    </w:p>
    <w:p w14:paraId="0C703315" w14:textId="77777777" w:rsidR="00C36715" w:rsidRDefault="00C36715" w:rsidP="00C36715">
      <w:pPr>
        <w:rPr>
          <w:rFonts w:ascii="Times New Roman" w:hAnsi="Times New Roman" w:cs="Times New Roman"/>
          <w:sz w:val="28"/>
          <w:szCs w:val="28"/>
        </w:rPr>
      </w:pPr>
    </w:p>
    <w:p w14:paraId="4764577D" w14:textId="77777777" w:rsidR="00C36715" w:rsidRPr="004164B8" w:rsidRDefault="00C36715" w:rsidP="00C36715">
      <w:pPr>
        <w:rPr>
          <w:rFonts w:ascii="Arial Rounded MT Bold" w:hAnsi="Arial Rounded MT Bold"/>
          <w:color w:val="538135" w:themeColor="accent6" w:themeShade="BF"/>
          <w:sz w:val="28"/>
          <w:szCs w:val="28"/>
        </w:rPr>
      </w:pPr>
      <w:r w:rsidRPr="004164B8">
        <w:rPr>
          <w:rFonts w:ascii="Arial Rounded MT Bold" w:hAnsi="Arial Rounded MT Bold"/>
          <w:color w:val="538135" w:themeColor="accent6" w:themeShade="BF"/>
          <w:sz w:val="28"/>
          <w:szCs w:val="28"/>
        </w:rPr>
        <w:t>OBJETIVOS DE LA CLASE</w:t>
      </w:r>
    </w:p>
    <w:p w14:paraId="45661A6F" w14:textId="04183095" w:rsidR="006F4844" w:rsidRDefault="006F4844" w:rsidP="00C36715">
      <w:pPr>
        <w:pStyle w:val="Prrafodelista"/>
        <w:numPr>
          <w:ilvl w:val="0"/>
          <w:numId w:val="2"/>
        </w:numPr>
        <w:jc w:val="both"/>
        <w:rPr>
          <w:rFonts w:ascii="Arial" w:hAnsi="Arial" w:cs="Arial"/>
          <w:b/>
          <w:bCs/>
          <w:sz w:val="28"/>
          <w:szCs w:val="28"/>
        </w:rPr>
      </w:pPr>
      <w:r>
        <w:rPr>
          <w:rFonts w:ascii="Arial" w:hAnsi="Arial" w:cs="Arial"/>
          <w:b/>
          <w:bCs/>
          <w:sz w:val="28"/>
          <w:szCs w:val="28"/>
        </w:rPr>
        <w:t xml:space="preserve">Identificar los principales postulados evolucionistas presentes en </w:t>
      </w:r>
      <w:r w:rsidRPr="006F4844">
        <w:rPr>
          <w:rFonts w:ascii="Arial" w:hAnsi="Arial" w:cs="Arial"/>
          <w:b/>
          <w:bCs/>
          <w:i/>
          <w:iCs/>
          <w:sz w:val="28"/>
          <w:szCs w:val="28"/>
        </w:rPr>
        <w:t>La Sociedad Primitiva</w:t>
      </w:r>
    </w:p>
    <w:p w14:paraId="6F7D2C5A" w14:textId="5C3B6947" w:rsidR="00C36715" w:rsidRDefault="00E4638A" w:rsidP="00C36715">
      <w:pPr>
        <w:pStyle w:val="Prrafodelista"/>
        <w:numPr>
          <w:ilvl w:val="0"/>
          <w:numId w:val="2"/>
        </w:numPr>
        <w:jc w:val="both"/>
        <w:rPr>
          <w:rFonts w:ascii="Arial" w:hAnsi="Arial" w:cs="Arial"/>
          <w:b/>
          <w:bCs/>
          <w:sz w:val="28"/>
          <w:szCs w:val="28"/>
        </w:rPr>
      </w:pPr>
      <w:r>
        <w:rPr>
          <w:rFonts w:ascii="Arial" w:hAnsi="Arial" w:cs="Arial"/>
          <w:b/>
          <w:bCs/>
          <w:sz w:val="28"/>
          <w:szCs w:val="28"/>
        </w:rPr>
        <w:t>Recuperar distintas lecturas, y discusiones</w:t>
      </w:r>
      <w:r w:rsidR="00B131EA">
        <w:rPr>
          <w:rFonts w:ascii="Arial" w:hAnsi="Arial" w:cs="Arial"/>
          <w:b/>
          <w:bCs/>
          <w:sz w:val="28"/>
          <w:szCs w:val="28"/>
        </w:rPr>
        <w:t xml:space="preserve"> </w:t>
      </w:r>
      <w:r>
        <w:rPr>
          <w:rFonts w:ascii="Arial" w:hAnsi="Arial" w:cs="Arial"/>
          <w:b/>
          <w:bCs/>
          <w:sz w:val="28"/>
          <w:szCs w:val="28"/>
        </w:rPr>
        <w:t>sobre</w:t>
      </w:r>
      <w:r w:rsidR="00B131EA">
        <w:rPr>
          <w:rFonts w:ascii="Arial" w:hAnsi="Arial" w:cs="Arial"/>
          <w:b/>
          <w:bCs/>
          <w:sz w:val="28"/>
          <w:szCs w:val="28"/>
        </w:rPr>
        <w:t xml:space="preserve"> la obra </w:t>
      </w:r>
      <w:r w:rsidR="00B131EA" w:rsidRPr="00335CAF">
        <w:rPr>
          <w:rFonts w:ascii="Arial" w:hAnsi="Arial" w:cs="Arial"/>
          <w:b/>
          <w:bCs/>
          <w:i/>
          <w:iCs/>
          <w:sz w:val="28"/>
          <w:szCs w:val="28"/>
        </w:rPr>
        <w:t>La Sociedad Primitiva</w:t>
      </w:r>
      <w:r w:rsidR="00B131EA">
        <w:rPr>
          <w:rFonts w:ascii="Arial" w:hAnsi="Arial" w:cs="Arial"/>
          <w:b/>
          <w:bCs/>
          <w:sz w:val="28"/>
          <w:szCs w:val="28"/>
        </w:rPr>
        <w:t xml:space="preserve"> de</w:t>
      </w:r>
      <w:r w:rsidR="006F4844">
        <w:rPr>
          <w:rFonts w:ascii="Arial" w:hAnsi="Arial" w:cs="Arial"/>
          <w:b/>
          <w:bCs/>
          <w:sz w:val="28"/>
          <w:szCs w:val="28"/>
        </w:rPr>
        <w:t xml:space="preserve"> Morgan</w:t>
      </w:r>
    </w:p>
    <w:p w14:paraId="4D7DC70A" w14:textId="1F88E9E7" w:rsidR="006F4844" w:rsidRDefault="00E4638A" w:rsidP="00C36715">
      <w:pPr>
        <w:pStyle w:val="Prrafodelista"/>
        <w:numPr>
          <w:ilvl w:val="0"/>
          <w:numId w:val="2"/>
        </w:numPr>
        <w:jc w:val="both"/>
        <w:rPr>
          <w:rFonts w:ascii="Arial" w:hAnsi="Arial" w:cs="Arial"/>
          <w:b/>
          <w:bCs/>
          <w:sz w:val="28"/>
          <w:szCs w:val="28"/>
        </w:rPr>
      </w:pPr>
      <w:r>
        <w:rPr>
          <w:rFonts w:ascii="Arial" w:hAnsi="Arial" w:cs="Arial"/>
          <w:b/>
          <w:bCs/>
          <w:sz w:val="28"/>
          <w:szCs w:val="28"/>
        </w:rPr>
        <w:t>Presentar</w:t>
      </w:r>
      <w:r w:rsidR="009A42BD">
        <w:rPr>
          <w:rFonts w:ascii="Arial" w:hAnsi="Arial" w:cs="Arial"/>
          <w:b/>
          <w:bCs/>
          <w:sz w:val="28"/>
          <w:szCs w:val="28"/>
        </w:rPr>
        <w:t xml:space="preserve"> -a modo introductorio-</w:t>
      </w:r>
      <w:r w:rsidR="006F4844">
        <w:rPr>
          <w:rFonts w:ascii="Arial" w:hAnsi="Arial" w:cs="Arial"/>
          <w:b/>
          <w:bCs/>
          <w:sz w:val="28"/>
          <w:szCs w:val="28"/>
        </w:rPr>
        <w:t xml:space="preserve"> la valoración de la obra de Morgan por parte de Marx y Engels</w:t>
      </w:r>
    </w:p>
    <w:p w14:paraId="25312CF6" w14:textId="653FC3A2" w:rsidR="00C36715" w:rsidRDefault="00C36715" w:rsidP="00C36715">
      <w:pPr>
        <w:rPr>
          <w:rFonts w:ascii="Arial" w:hAnsi="Arial" w:cs="Arial"/>
          <w:b/>
          <w:bCs/>
          <w:sz w:val="24"/>
          <w:szCs w:val="24"/>
        </w:rPr>
      </w:pPr>
    </w:p>
    <w:p w14:paraId="1587DF29" w14:textId="2FFAF621" w:rsidR="00305399" w:rsidRDefault="00305399" w:rsidP="00305399">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P</w:t>
      </w:r>
      <w:r w:rsidR="00290BEE">
        <w:rPr>
          <w:rFonts w:ascii="Arial Rounded MT Bold" w:hAnsi="Arial Rounded MT Bold" w:cs="Arial"/>
          <w:b/>
          <w:bCs/>
          <w:color w:val="538135" w:themeColor="accent6" w:themeShade="BF"/>
          <w:sz w:val="28"/>
          <w:szCs w:val="28"/>
        </w:rPr>
        <w:t>ostulados evolucionistas de Morgan</w:t>
      </w:r>
    </w:p>
    <w:p w14:paraId="49C10F87" w14:textId="0E7D8916" w:rsidR="00290BEE" w:rsidRDefault="00290BEE" w:rsidP="00290BEE">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0100B8B5" w14:textId="255ED168" w:rsidR="00290BEE" w:rsidRPr="006E3002" w:rsidRDefault="006E3002" w:rsidP="006E3002">
      <w:pPr>
        <w:pStyle w:val="Prrafodelista"/>
        <w:spacing w:after="0" w:line="360" w:lineRule="auto"/>
        <w:ind w:left="0"/>
        <w:jc w:val="both"/>
        <w:rPr>
          <w:rFonts w:ascii="Arial" w:hAnsi="Arial" w:cs="Arial"/>
          <w:sz w:val="24"/>
          <w:szCs w:val="24"/>
        </w:rPr>
      </w:pPr>
      <w:r>
        <w:rPr>
          <w:rFonts w:ascii="Arial" w:hAnsi="Arial" w:cs="Arial"/>
          <w:sz w:val="24"/>
          <w:szCs w:val="24"/>
        </w:rPr>
        <w:tab/>
      </w:r>
      <w:r w:rsidR="00290BEE" w:rsidRPr="006E3002">
        <w:rPr>
          <w:rFonts w:ascii="Arial" w:hAnsi="Arial" w:cs="Arial"/>
          <w:sz w:val="24"/>
          <w:szCs w:val="24"/>
        </w:rPr>
        <w:t xml:space="preserve">A continuación, </w:t>
      </w:r>
      <w:r w:rsidR="004F6394">
        <w:rPr>
          <w:rFonts w:ascii="Arial" w:hAnsi="Arial" w:cs="Arial"/>
          <w:sz w:val="24"/>
          <w:szCs w:val="24"/>
        </w:rPr>
        <w:t>mencionamos</w:t>
      </w:r>
      <w:r w:rsidR="00290BEE" w:rsidRPr="006E3002">
        <w:rPr>
          <w:rFonts w:ascii="Arial" w:hAnsi="Arial" w:cs="Arial"/>
          <w:sz w:val="24"/>
          <w:szCs w:val="24"/>
        </w:rPr>
        <w:t xml:space="preserve"> algunas de l</w:t>
      </w:r>
      <w:r w:rsidRPr="006E3002">
        <w:rPr>
          <w:rFonts w:ascii="Arial" w:hAnsi="Arial" w:cs="Arial"/>
          <w:sz w:val="24"/>
          <w:szCs w:val="24"/>
        </w:rPr>
        <w:t>os principales postulados</w:t>
      </w:r>
      <w:r w:rsidR="00290BEE" w:rsidRPr="006E3002">
        <w:rPr>
          <w:rFonts w:ascii="Arial" w:hAnsi="Arial" w:cs="Arial"/>
          <w:sz w:val="24"/>
          <w:szCs w:val="24"/>
        </w:rPr>
        <w:t xml:space="preserve"> y argumentaciones qu</w:t>
      </w:r>
      <w:r w:rsidRPr="006E3002">
        <w:rPr>
          <w:rFonts w:ascii="Arial" w:hAnsi="Arial" w:cs="Arial"/>
          <w:sz w:val="24"/>
          <w:szCs w:val="24"/>
        </w:rPr>
        <w:t xml:space="preserve">e dan forma a la concepción evolucionista </w:t>
      </w:r>
      <w:r w:rsidR="00D71EBE">
        <w:rPr>
          <w:rFonts w:ascii="Arial" w:hAnsi="Arial" w:cs="Arial"/>
          <w:sz w:val="24"/>
          <w:szCs w:val="24"/>
        </w:rPr>
        <w:t xml:space="preserve">de la sociedad humana </w:t>
      </w:r>
      <w:r w:rsidRPr="006E3002">
        <w:rPr>
          <w:rFonts w:ascii="Arial" w:hAnsi="Arial" w:cs="Arial"/>
          <w:sz w:val="24"/>
          <w:szCs w:val="24"/>
        </w:rPr>
        <w:t xml:space="preserve">expuesta por Morgan en La Sociedad Primitiva. </w:t>
      </w:r>
    </w:p>
    <w:p w14:paraId="5A41107E" w14:textId="1888E3D7" w:rsidR="00305399" w:rsidRDefault="00305399" w:rsidP="00C36715">
      <w:pPr>
        <w:rPr>
          <w:rFonts w:ascii="Arial" w:hAnsi="Arial" w:cs="Arial"/>
          <w:b/>
          <w:bCs/>
          <w:sz w:val="24"/>
          <w:szCs w:val="24"/>
        </w:rPr>
      </w:pPr>
    </w:p>
    <w:p w14:paraId="00CE9DA9" w14:textId="428A4E27" w:rsidR="00305399" w:rsidRDefault="00290BEE" w:rsidP="009F7013">
      <w:pPr>
        <w:pStyle w:val="Prrafodelista"/>
        <w:numPr>
          <w:ilvl w:val="0"/>
          <w:numId w:val="3"/>
        </w:numPr>
        <w:spacing w:after="0" w:line="360" w:lineRule="auto"/>
        <w:jc w:val="both"/>
        <w:rPr>
          <w:rFonts w:ascii="Arial" w:hAnsi="Arial" w:cs="Arial"/>
          <w:sz w:val="24"/>
          <w:szCs w:val="24"/>
        </w:rPr>
      </w:pPr>
      <w:r>
        <w:rPr>
          <w:rFonts w:ascii="Arial" w:hAnsi="Arial" w:cs="Arial"/>
          <w:sz w:val="24"/>
          <w:szCs w:val="24"/>
        </w:rPr>
        <w:t>Morgan s</w:t>
      </w:r>
      <w:r w:rsidR="00305399" w:rsidRPr="009F7013">
        <w:rPr>
          <w:rFonts w:ascii="Arial" w:hAnsi="Arial" w:cs="Arial"/>
          <w:sz w:val="24"/>
          <w:szCs w:val="24"/>
        </w:rPr>
        <w:t xml:space="preserve">ostiene la </w:t>
      </w:r>
      <w:r w:rsidR="00305399" w:rsidRPr="00994FEC">
        <w:rPr>
          <w:rFonts w:ascii="Arial" w:hAnsi="Arial" w:cs="Arial"/>
          <w:b/>
          <w:bCs/>
          <w:sz w:val="24"/>
          <w:szCs w:val="24"/>
        </w:rPr>
        <w:t>unidad psíquica del género humano</w:t>
      </w:r>
      <w:r w:rsidR="00305399" w:rsidRPr="009F7013">
        <w:rPr>
          <w:rFonts w:ascii="Arial" w:hAnsi="Arial" w:cs="Arial"/>
          <w:sz w:val="24"/>
          <w:szCs w:val="24"/>
        </w:rPr>
        <w:t>, en virtud de la cual, los resultados de la experiencia humana han sido los mismos en todas las sociedades que se encuentran en la misma condición étnica.</w:t>
      </w:r>
      <w:r w:rsidR="00D71EBE">
        <w:rPr>
          <w:rFonts w:ascii="Arial" w:hAnsi="Arial" w:cs="Arial"/>
          <w:sz w:val="24"/>
          <w:szCs w:val="24"/>
        </w:rPr>
        <w:t xml:space="preserve"> La unidad mental lleva</w:t>
      </w:r>
      <w:r w:rsidR="000E345E">
        <w:rPr>
          <w:rFonts w:ascii="Arial" w:hAnsi="Arial" w:cs="Arial"/>
          <w:sz w:val="24"/>
          <w:szCs w:val="24"/>
        </w:rPr>
        <w:t xml:space="preserve"> al humano</w:t>
      </w:r>
      <w:r w:rsidR="00D71EBE">
        <w:rPr>
          <w:rFonts w:ascii="Arial" w:hAnsi="Arial" w:cs="Arial"/>
          <w:sz w:val="24"/>
          <w:szCs w:val="24"/>
        </w:rPr>
        <w:t xml:space="preserve"> a comportarse de manera similar en circunstancias similares, y</w:t>
      </w:r>
      <w:r w:rsidR="00E679FB">
        <w:rPr>
          <w:rFonts w:ascii="Arial" w:hAnsi="Arial" w:cs="Arial"/>
          <w:sz w:val="24"/>
          <w:szCs w:val="24"/>
        </w:rPr>
        <w:t xml:space="preserve"> esto</w:t>
      </w:r>
      <w:r w:rsidR="00D71EBE">
        <w:rPr>
          <w:rFonts w:ascii="Arial" w:hAnsi="Arial" w:cs="Arial"/>
          <w:sz w:val="24"/>
          <w:szCs w:val="24"/>
        </w:rPr>
        <w:t xml:space="preserve"> explica la universalidad de las instituciones y de los fenómenos sociales.</w:t>
      </w:r>
    </w:p>
    <w:p w14:paraId="16E49BCA" w14:textId="4C3CCB8F" w:rsidR="00D71EBE" w:rsidRDefault="00D71EBE" w:rsidP="00D71EBE">
      <w:pPr>
        <w:pStyle w:val="Prrafodelista"/>
        <w:numPr>
          <w:ilvl w:val="0"/>
          <w:numId w:val="3"/>
        </w:numPr>
        <w:spacing w:after="0" w:line="360" w:lineRule="auto"/>
        <w:jc w:val="both"/>
        <w:rPr>
          <w:rFonts w:ascii="Arial" w:hAnsi="Arial" w:cs="Arial"/>
          <w:sz w:val="24"/>
          <w:szCs w:val="24"/>
        </w:rPr>
      </w:pPr>
      <w:r>
        <w:rPr>
          <w:rFonts w:ascii="Arial" w:hAnsi="Arial" w:cs="Arial"/>
          <w:sz w:val="24"/>
          <w:szCs w:val="24"/>
        </w:rPr>
        <w:t xml:space="preserve">Las instituciones más antiguas tienen </w:t>
      </w:r>
      <w:r w:rsidRPr="00994FEC">
        <w:rPr>
          <w:rFonts w:ascii="Arial" w:hAnsi="Arial" w:cs="Arial"/>
          <w:b/>
          <w:bCs/>
          <w:sz w:val="24"/>
          <w:szCs w:val="24"/>
        </w:rPr>
        <w:t>carácter universal</w:t>
      </w:r>
      <w:r>
        <w:rPr>
          <w:rFonts w:ascii="Arial" w:hAnsi="Arial" w:cs="Arial"/>
          <w:sz w:val="24"/>
          <w:szCs w:val="24"/>
        </w:rPr>
        <w:t>: se desplegaron en todos los tiempos y en todos los continentes, aunque a ritmo evolutivo diferente; y las formas intermedias y posteriores, llegarán a ser universales.</w:t>
      </w:r>
    </w:p>
    <w:p w14:paraId="5359FD46" w14:textId="4181D21C" w:rsidR="000E345E" w:rsidRPr="000E345E" w:rsidRDefault="000E345E" w:rsidP="00D71EBE">
      <w:pPr>
        <w:pStyle w:val="Prrafodelista"/>
        <w:numPr>
          <w:ilvl w:val="0"/>
          <w:numId w:val="3"/>
        </w:numPr>
        <w:spacing w:after="0" w:line="360" w:lineRule="auto"/>
        <w:jc w:val="both"/>
        <w:rPr>
          <w:rFonts w:ascii="Arial" w:hAnsi="Arial" w:cs="Arial"/>
          <w:sz w:val="24"/>
          <w:szCs w:val="24"/>
        </w:rPr>
      </w:pPr>
      <w:r w:rsidRPr="000E345E">
        <w:rPr>
          <w:rFonts w:ascii="Arial" w:hAnsi="Arial" w:cs="Arial"/>
          <w:sz w:val="24"/>
          <w:szCs w:val="24"/>
        </w:rPr>
        <w:lastRenderedPageBreak/>
        <w:t xml:space="preserve">Si algunos párrafos presentan evidencia del </w:t>
      </w:r>
      <w:r w:rsidRPr="000E345E">
        <w:rPr>
          <w:rFonts w:ascii="Arial" w:hAnsi="Arial" w:cs="Arial"/>
          <w:b/>
          <w:bCs/>
          <w:sz w:val="24"/>
          <w:szCs w:val="24"/>
        </w:rPr>
        <w:t>carácter unilineal de su evolucionismo:</w:t>
      </w:r>
      <w:r w:rsidRPr="000E345E">
        <w:rPr>
          <w:rFonts w:ascii="Arial" w:hAnsi="Arial" w:cs="Arial"/>
          <w:sz w:val="24"/>
          <w:szCs w:val="24"/>
        </w:rPr>
        <w:t xml:space="preserve"> “Tan esencialmente idénticas son las artes, instituciones y modos de vida en un mismo estadio en todos los continentes, que la forma arcaica de las principales instituciones domésticas de los griegos y romanos, debe buscarse aún hoy en las instituciones correspondientes de los aborígenes americanos” (89)</w:t>
      </w:r>
      <w:r w:rsidR="00265FAA">
        <w:rPr>
          <w:rFonts w:ascii="Arial" w:hAnsi="Arial" w:cs="Arial"/>
          <w:sz w:val="24"/>
          <w:szCs w:val="24"/>
        </w:rPr>
        <w:t>, o</w:t>
      </w:r>
      <w:r w:rsidRPr="000E345E">
        <w:rPr>
          <w:rFonts w:ascii="Arial" w:hAnsi="Arial" w:cs="Arial"/>
          <w:sz w:val="24"/>
          <w:szCs w:val="24"/>
        </w:rPr>
        <w:t xml:space="preserve">tros nos dan cuenta que el trayecto de </w:t>
      </w:r>
      <w:r w:rsidRPr="000E345E">
        <w:rPr>
          <w:rFonts w:ascii="Arial" w:hAnsi="Arial" w:cs="Arial"/>
          <w:b/>
          <w:bCs/>
          <w:sz w:val="24"/>
          <w:szCs w:val="24"/>
        </w:rPr>
        <w:t>la evolución no necesariamente es unilineal</w:t>
      </w:r>
      <w:r w:rsidRPr="000E345E">
        <w:rPr>
          <w:rFonts w:ascii="Arial" w:hAnsi="Arial" w:cs="Arial"/>
          <w:sz w:val="24"/>
          <w:szCs w:val="24"/>
        </w:rPr>
        <w:t>, ni las invenciones independientes. La fundición del hierro, por ejemplo, es probable que haya venido una sola vez al hombre (110); la vecindad con tribus más avanzadas pud</w:t>
      </w:r>
      <w:r>
        <w:rPr>
          <w:rFonts w:ascii="Arial" w:hAnsi="Arial" w:cs="Arial"/>
          <w:sz w:val="24"/>
          <w:szCs w:val="24"/>
        </w:rPr>
        <w:t>o</w:t>
      </w:r>
      <w:r w:rsidRPr="000E345E">
        <w:rPr>
          <w:rFonts w:ascii="Arial" w:hAnsi="Arial" w:cs="Arial"/>
          <w:sz w:val="24"/>
          <w:szCs w:val="24"/>
        </w:rPr>
        <w:t xml:space="preserve"> acelerar el progreso o bien existen factores externos, como las colonizaciones que han alterado el desarrollo natural de una sociedad.</w:t>
      </w:r>
      <w:r>
        <w:rPr>
          <w:rFonts w:ascii="Arial" w:hAnsi="Arial" w:cs="Arial"/>
          <w:sz w:val="24"/>
          <w:szCs w:val="24"/>
        </w:rPr>
        <w:t>” (Rodríguez, 2020: 8-9).</w:t>
      </w:r>
    </w:p>
    <w:p w14:paraId="32805F9D" w14:textId="4E343180" w:rsidR="00E154BC" w:rsidRPr="009F7013" w:rsidRDefault="00E154BC" w:rsidP="009F7013">
      <w:pPr>
        <w:pStyle w:val="Prrafodelista"/>
        <w:numPr>
          <w:ilvl w:val="0"/>
          <w:numId w:val="3"/>
        </w:numPr>
        <w:spacing w:after="0" w:line="360" w:lineRule="auto"/>
        <w:jc w:val="both"/>
        <w:rPr>
          <w:rFonts w:ascii="Arial" w:hAnsi="Arial" w:cs="Arial"/>
          <w:sz w:val="24"/>
          <w:szCs w:val="24"/>
        </w:rPr>
      </w:pPr>
      <w:r w:rsidRPr="009F7013">
        <w:rPr>
          <w:rFonts w:ascii="Arial" w:hAnsi="Arial" w:cs="Arial"/>
          <w:sz w:val="24"/>
          <w:szCs w:val="24"/>
        </w:rPr>
        <w:t xml:space="preserve">Participa de una </w:t>
      </w:r>
      <w:r w:rsidRPr="00994FEC">
        <w:rPr>
          <w:rFonts w:ascii="Arial" w:hAnsi="Arial" w:cs="Arial"/>
          <w:b/>
          <w:bCs/>
          <w:sz w:val="24"/>
          <w:szCs w:val="24"/>
        </w:rPr>
        <w:t>concepción de la evolución</w:t>
      </w:r>
      <w:r w:rsidRPr="009F7013">
        <w:rPr>
          <w:rFonts w:ascii="Arial" w:hAnsi="Arial" w:cs="Arial"/>
          <w:sz w:val="24"/>
          <w:szCs w:val="24"/>
        </w:rPr>
        <w:t xml:space="preserve"> que implica el desarrollo desde formas, estados o grados anteriores, más bajos y menos complejos, hacia estructuras y formas posteriores, más elevadas y complejas.</w:t>
      </w:r>
    </w:p>
    <w:p w14:paraId="371F64BE" w14:textId="2CD4EAE1" w:rsidR="00E154BC" w:rsidRDefault="00E154BC" w:rsidP="009F7013">
      <w:pPr>
        <w:pStyle w:val="Prrafodelista"/>
        <w:numPr>
          <w:ilvl w:val="0"/>
          <w:numId w:val="3"/>
        </w:numPr>
        <w:spacing w:after="0" w:line="360" w:lineRule="auto"/>
        <w:jc w:val="both"/>
        <w:rPr>
          <w:rFonts w:ascii="Arial" w:hAnsi="Arial" w:cs="Arial"/>
          <w:sz w:val="24"/>
          <w:szCs w:val="24"/>
        </w:rPr>
      </w:pPr>
      <w:r w:rsidRPr="009F7013">
        <w:rPr>
          <w:rFonts w:ascii="Arial" w:hAnsi="Arial" w:cs="Arial"/>
          <w:sz w:val="24"/>
          <w:szCs w:val="24"/>
        </w:rPr>
        <w:t xml:space="preserve">Concibe a la evolución como formando parte de un proceso de </w:t>
      </w:r>
      <w:r w:rsidRPr="00994FEC">
        <w:rPr>
          <w:rFonts w:ascii="Arial" w:hAnsi="Arial" w:cs="Arial"/>
          <w:b/>
          <w:bCs/>
          <w:sz w:val="24"/>
          <w:szCs w:val="24"/>
        </w:rPr>
        <w:t>selección natura</w:t>
      </w:r>
      <w:r w:rsidR="009F7013" w:rsidRPr="00994FEC">
        <w:rPr>
          <w:rFonts w:ascii="Arial" w:hAnsi="Arial" w:cs="Arial"/>
          <w:b/>
          <w:bCs/>
          <w:sz w:val="24"/>
          <w:szCs w:val="24"/>
        </w:rPr>
        <w:t>l</w:t>
      </w:r>
      <w:r w:rsidR="009F7013">
        <w:rPr>
          <w:rFonts w:ascii="Arial" w:hAnsi="Arial" w:cs="Arial"/>
          <w:sz w:val="24"/>
          <w:szCs w:val="24"/>
        </w:rPr>
        <w:t>. Veremos</w:t>
      </w:r>
      <w:r w:rsidR="00622A52">
        <w:rPr>
          <w:rFonts w:ascii="Arial" w:hAnsi="Arial" w:cs="Arial"/>
          <w:sz w:val="24"/>
          <w:szCs w:val="24"/>
        </w:rPr>
        <w:t>,</w:t>
      </w:r>
      <w:r w:rsidR="009F7013">
        <w:rPr>
          <w:rFonts w:ascii="Arial" w:hAnsi="Arial" w:cs="Arial"/>
          <w:sz w:val="24"/>
          <w:szCs w:val="24"/>
        </w:rPr>
        <w:t xml:space="preserve"> por ejemplo, la introducción de la familia punalúa.</w:t>
      </w:r>
    </w:p>
    <w:p w14:paraId="7F4386B0" w14:textId="69EB283D" w:rsidR="00622A52" w:rsidRDefault="004F6394" w:rsidP="009F7013">
      <w:pPr>
        <w:pStyle w:val="Prrafodelista"/>
        <w:numPr>
          <w:ilvl w:val="0"/>
          <w:numId w:val="3"/>
        </w:numPr>
        <w:spacing w:after="0" w:line="360" w:lineRule="auto"/>
        <w:jc w:val="both"/>
        <w:rPr>
          <w:rFonts w:ascii="Arial" w:hAnsi="Arial" w:cs="Arial"/>
          <w:sz w:val="24"/>
          <w:szCs w:val="24"/>
        </w:rPr>
      </w:pPr>
      <w:r>
        <w:rPr>
          <w:rFonts w:ascii="Arial" w:hAnsi="Arial" w:cs="Arial"/>
          <w:sz w:val="24"/>
          <w:szCs w:val="24"/>
        </w:rPr>
        <w:t xml:space="preserve">Sostiene la idea del </w:t>
      </w:r>
      <w:r w:rsidRPr="004F6394">
        <w:rPr>
          <w:rFonts w:ascii="Arial" w:hAnsi="Arial" w:cs="Arial"/>
          <w:b/>
          <w:bCs/>
          <w:sz w:val="24"/>
          <w:szCs w:val="24"/>
        </w:rPr>
        <w:t>desarrollo progresivo de la humanidad</w:t>
      </w:r>
      <w:r>
        <w:rPr>
          <w:rFonts w:ascii="Arial" w:hAnsi="Arial" w:cs="Arial"/>
          <w:sz w:val="24"/>
          <w:szCs w:val="24"/>
        </w:rPr>
        <w:t xml:space="preserve">. </w:t>
      </w:r>
      <w:r w:rsidR="00C85E0C">
        <w:rPr>
          <w:rFonts w:ascii="Arial" w:hAnsi="Arial" w:cs="Arial"/>
          <w:sz w:val="24"/>
          <w:szCs w:val="24"/>
        </w:rPr>
        <w:t>Aunque existieron retrocesos en ciertas tribus y naciones, éstos nunca interrumpieron una línea de progreso general de la humanidad</w:t>
      </w:r>
      <w:r>
        <w:rPr>
          <w:rFonts w:ascii="Arial" w:hAnsi="Arial" w:cs="Arial"/>
          <w:sz w:val="24"/>
          <w:szCs w:val="24"/>
        </w:rPr>
        <w:t>, que es gradual y continuo.</w:t>
      </w:r>
      <w:r w:rsidR="00C85E0C">
        <w:rPr>
          <w:rFonts w:ascii="Arial" w:hAnsi="Arial" w:cs="Arial"/>
          <w:sz w:val="24"/>
          <w:szCs w:val="24"/>
        </w:rPr>
        <w:t xml:space="preserve"> Se opuso a la hipótesis de la degradación.</w:t>
      </w:r>
    </w:p>
    <w:p w14:paraId="32A434D2" w14:textId="0A5A2970" w:rsidR="00B122CA" w:rsidRPr="009F7013" w:rsidRDefault="00B122CA" w:rsidP="009F7013">
      <w:pPr>
        <w:pStyle w:val="Prrafodelista"/>
        <w:numPr>
          <w:ilvl w:val="0"/>
          <w:numId w:val="4"/>
        </w:numPr>
        <w:spacing w:after="0" w:line="360" w:lineRule="auto"/>
        <w:jc w:val="both"/>
        <w:rPr>
          <w:rFonts w:ascii="Arial" w:hAnsi="Arial" w:cs="Arial"/>
          <w:sz w:val="24"/>
          <w:szCs w:val="24"/>
        </w:rPr>
      </w:pPr>
      <w:r w:rsidRPr="009F7013">
        <w:rPr>
          <w:rFonts w:ascii="Arial" w:hAnsi="Arial" w:cs="Arial"/>
          <w:sz w:val="24"/>
          <w:szCs w:val="24"/>
        </w:rPr>
        <w:t xml:space="preserve">Asume que lo más simple es anterior en tiempo, </w:t>
      </w:r>
      <w:r w:rsidR="00FD3D2E">
        <w:rPr>
          <w:rFonts w:ascii="Arial" w:hAnsi="Arial" w:cs="Arial"/>
          <w:sz w:val="24"/>
          <w:szCs w:val="24"/>
        </w:rPr>
        <w:t xml:space="preserve">y </w:t>
      </w:r>
      <w:r w:rsidRPr="009F7013">
        <w:rPr>
          <w:rFonts w:ascii="Arial" w:hAnsi="Arial" w:cs="Arial"/>
          <w:sz w:val="24"/>
          <w:szCs w:val="24"/>
        </w:rPr>
        <w:t>que lo más a</w:t>
      </w:r>
      <w:r w:rsidR="00FD3D2E">
        <w:rPr>
          <w:rFonts w:ascii="Arial" w:hAnsi="Arial" w:cs="Arial"/>
          <w:sz w:val="24"/>
          <w:szCs w:val="24"/>
        </w:rPr>
        <w:t>rcaico</w:t>
      </w:r>
      <w:r w:rsidRPr="009F7013">
        <w:rPr>
          <w:rFonts w:ascii="Arial" w:hAnsi="Arial" w:cs="Arial"/>
          <w:sz w:val="24"/>
          <w:szCs w:val="24"/>
        </w:rPr>
        <w:t xml:space="preserve"> </w:t>
      </w:r>
      <w:r w:rsidR="00335CAF">
        <w:rPr>
          <w:rFonts w:ascii="Arial" w:hAnsi="Arial" w:cs="Arial"/>
          <w:sz w:val="24"/>
          <w:szCs w:val="24"/>
        </w:rPr>
        <w:t>tiene carácter universal</w:t>
      </w:r>
      <w:r w:rsidR="00FD3D2E">
        <w:rPr>
          <w:rFonts w:ascii="Arial" w:hAnsi="Arial" w:cs="Arial"/>
          <w:sz w:val="24"/>
          <w:szCs w:val="24"/>
        </w:rPr>
        <w:t xml:space="preserve">. </w:t>
      </w:r>
      <w:r w:rsidR="00092DDD" w:rsidRPr="009F7013">
        <w:rPr>
          <w:rFonts w:ascii="Arial" w:hAnsi="Arial" w:cs="Arial"/>
          <w:sz w:val="24"/>
          <w:szCs w:val="24"/>
        </w:rPr>
        <w:t>Luego de establecer el supuesto carácter arcaico de una institución, supone inmediatamente que esta institución debió existir en todas partes con anterioridad a aquella que le sigue en desarrollo evolutivo</w:t>
      </w:r>
      <w:r w:rsidR="00FD3D2E">
        <w:rPr>
          <w:rFonts w:ascii="Arial" w:hAnsi="Arial" w:cs="Arial"/>
          <w:sz w:val="24"/>
          <w:szCs w:val="24"/>
        </w:rPr>
        <w:t>.</w:t>
      </w:r>
      <w:r w:rsidR="00164B5A">
        <w:rPr>
          <w:rFonts w:ascii="Arial" w:hAnsi="Arial" w:cs="Arial"/>
          <w:sz w:val="24"/>
          <w:szCs w:val="24"/>
        </w:rPr>
        <w:t xml:space="preserve"> (Díaz Polanco, 1977).</w:t>
      </w:r>
    </w:p>
    <w:p w14:paraId="33769855" w14:textId="5CFA031E" w:rsidR="00C85E0C" w:rsidRDefault="009F7013" w:rsidP="00C85E0C">
      <w:pPr>
        <w:spacing w:after="0" w:line="360" w:lineRule="auto"/>
        <w:ind w:left="360"/>
        <w:jc w:val="both"/>
        <w:rPr>
          <w:rFonts w:ascii="Arial" w:hAnsi="Arial" w:cs="Arial"/>
          <w:sz w:val="24"/>
          <w:szCs w:val="24"/>
        </w:rPr>
      </w:pPr>
      <w:r>
        <w:rPr>
          <w:rFonts w:ascii="Arial" w:hAnsi="Arial" w:cs="Arial"/>
          <w:sz w:val="24"/>
          <w:szCs w:val="24"/>
        </w:rPr>
        <w:tab/>
      </w:r>
      <w:r w:rsidR="00D5708F">
        <w:rPr>
          <w:rFonts w:ascii="Arial" w:hAnsi="Arial" w:cs="Arial"/>
          <w:sz w:val="24"/>
          <w:szCs w:val="24"/>
        </w:rPr>
        <w:t>Destacamos</w:t>
      </w:r>
      <w:r w:rsidR="00B122CA" w:rsidRPr="00305399">
        <w:rPr>
          <w:rFonts w:ascii="Arial" w:hAnsi="Arial" w:cs="Arial"/>
          <w:sz w:val="24"/>
          <w:szCs w:val="24"/>
        </w:rPr>
        <w:t xml:space="preserve"> algunos ejemplos, como </w:t>
      </w:r>
      <w:r w:rsidR="00C85E0C">
        <w:rPr>
          <w:rFonts w:ascii="Arial" w:hAnsi="Arial" w:cs="Arial"/>
          <w:sz w:val="24"/>
          <w:szCs w:val="24"/>
        </w:rPr>
        <w:t xml:space="preserve">los sistemas de parentesco </w:t>
      </w:r>
      <w:r w:rsidR="00C85E0C">
        <w:rPr>
          <w:rFonts w:ascii="Arial" w:hAnsi="Arial" w:cs="Arial"/>
          <w:sz w:val="24"/>
          <w:szCs w:val="24"/>
        </w:rPr>
        <w:tab/>
        <w:t>clasificatorios y descriptivos</w:t>
      </w:r>
      <w:r w:rsidR="00B122CA" w:rsidRPr="00305399">
        <w:rPr>
          <w:rFonts w:ascii="Arial" w:hAnsi="Arial" w:cs="Arial"/>
          <w:sz w:val="24"/>
          <w:szCs w:val="24"/>
        </w:rPr>
        <w:t xml:space="preserve">; </w:t>
      </w:r>
      <w:r w:rsidR="00C85E0C">
        <w:rPr>
          <w:rFonts w:ascii="Arial" w:hAnsi="Arial" w:cs="Arial"/>
          <w:sz w:val="24"/>
          <w:szCs w:val="24"/>
        </w:rPr>
        <w:t>la organización a base de sexo como más</w:t>
      </w:r>
      <w:r w:rsidR="00FD3D2E">
        <w:rPr>
          <w:rFonts w:ascii="Arial" w:hAnsi="Arial" w:cs="Arial"/>
          <w:sz w:val="24"/>
          <w:szCs w:val="24"/>
        </w:rPr>
        <w:t xml:space="preserve"> </w:t>
      </w:r>
      <w:r w:rsidR="00FD3D2E">
        <w:rPr>
          <w:rFonts w:ascii="Arial" w:hAnsi="Arial" w:cs="Arial"/>
          <w:sz w:val="24"/>
          <w:szCs w:val="24"/>
        </w:rPr>
        <w:tab/>
        <w:t>a</w:t>
      </w:r>
      <w:r w:rsidR="00C85E0C">
        <w:rPr>
          <w:rFonts w:ascii="Arial" w:hAnsi="Arial" w:cs="Arial"/>
          <w:sz w:val="24"/>
          <w:szCs w:val="24"/>
        </w:rPr>
        <w:t>rcaica que la organización en gentes</w:t>
      </w:r>
      <w:r w:rsidR="00FD3D2E">
        <w:rPr>
          <w:rFonts w:ascii="Arial" w:hAnsi="Arial" w:cs="Arial"/>
          <w:sz w:val="24"/>
          <w:szCs w:val="24"/>
        </w:rPr>
        <w:t xml:space="preserve">, matrilinealidad y patrilinealidad. </w:t>
      </w:r>
    </w:p>
    <w:p w14:paraId="6B9D3457" w14:textId="4BC032A1" w:rsidR="00305399" w:rsidRPr="00C85E0C" w:rsidRDefault="00B122CA" w:rsidP="00C85E0C">
      <w:pPr>
        <w:pStyle w:val="Prrafodelista"/>
        <w:numPr>
          <w:ilvl w:val="0"/>
          <w:numId w:val="4"/>
        </w:numPr>
        <w:spacing w:after="0" w:line="360" w:lineRule="auto"/>
        <w:jc w:val="both"/>
        <w:rPr>
          <w:rFonts w:ascii="Arial" w:hAnsi="Arial" w:cs="Arial"/>
          <w:sz w:val="24"/>
          <w:szCs w:val="24"/>
        </w:rPr>
      </w:pPr>
      <w:r w:rsidRPr="00C85E0C">
        <w:rPr>
          <w:rFonts w:ascii="Arial" w:hAnsi="Arial" w:cs="Arial"/>
          <w:sz w:val="24"/>
          <w:szCs w:val="24"/>
        </w:rPr>
        <w:t>A</w:t>
      </w:r>
      <w:r w:rsidR="00A77807" w:rsidRPr="00C85E0C">
        <w:rPr>
          <w:rFonts w:ascii="Arial" w:hAnsi="Arial" w:cs="Arial"/>
          <w:sz w:val="24"/>
          <w:szCs w:val="24"/>
        </w:rPr>
        <w:t>nte la carencia de documentos directos que permitan recomponer la historia más antigua de la humanidad, a</w:t>
      </w:r>
      <w:r w:rsidRPr="00C85E0C">
        <w:rPr>
          <w:rFonts w:ascii="Arial" w:hAnsi="Arial" w:cs="Arial"/>
          <w:sz w:val="24"/>
          <w:szCs w:val="24"/>
        </w:rPr>
        <w:t xml:space="preserve">pela al razonamiento lógico para </w:t>
      </w:r>
      <w:r w:rsidRPr="00994FEC">
        <w:rPr>
          <w:rFonts w:ascii="Arial" w:hAnsi="Arial" w:cs="Arial"/>
          <w:b/>
          <w:bCs/>
          <w:sz w:val="24"/>
          <w:szCs w:val="24"/>
        </w:rPr>
        <w:t>deducir las instituciones más primitivas</w:t>
      </w:r>
      <w:r w:rsidR="00A77807" w:rsidRPr="00C85E0C">
        <w:rPr>
          <w:rFonts w:ascii="Arial" w:hAnsi="Arial" w:cs="Arial"/>
          <w:sz w:val="24"/>
          <w:szCs w:val="24"/>
        </w:rPr>
        <w:t xml:space="preserve">. “Las instituciones actuales </w:t>
      </w:r>
      <w:r w:rsidR="00A77807" w:rsidRPr="00C85E0C">
        <w:rPr>
          <w:rFonts w:ascii="Arial" w:hAnsi="Arial" w:cs="Arial"/>
          <w:sz w:val="24"/>
          <w:szCs w:val="24"/>
        </w:rPr>
        <w:lastRenderedPageBreak/>
        <w:t xml:space="preserve">primitivas, las más antiguas de entre ellas, servirán de plataforma o de premisa mayor para poder deducir lo que debió ser con anterioridad, el estado, forma o condición inmediata que les precedió, es decir, teniendo a la vista el consecuente, deduciremos el antecedente.” (Lisón Tolosana, </w:t>
      </w:r>
      <w:r w:rsidR="00E71C94">
        <w:rPr>
          <w:rFonts w:ascii="Arial" w:hAnsi="Arial" w:cs="Arial"/>
          <w:sz w:val="24"/>
          <w:szCs w:val="24"/>
        </w:rPr>
        <w:t>1980:</w:t>
      </w:r>
      <w:r w:rsidR="00A77807" w:rsidRPr="00C85E0C">
        <w:rPr>
          <w:rFonts w:ascii="Arial" w:hAnsi="Arial" w:cs="Arial"/>
          <w:sz w:val="24"/>
          <w:szCs w:val="24"/>
        </w:rPr>
        <w:t>42).</w:t>
      </w:r>
      <w:r w:rsidR="004F6394" w:rsidRPr="004F6394">
        <w:rPr>
          <w:rFonts w:ascii="Arial" w:hAnsi="Arial" w:cs="Arial"/>
          <w:sz w:val="24"/>
          <w:szCs w:val="24"/>
        </w:rPr>
        <w:t xml:space="preserve"> </w:t>
      </w:r>
      <w:r w:rsidR="004F6394">
        <w:rPr>
          <w:rFonts w:ascii="Arial" w:hAnsi="Arial" w:cs="Arial"/>
          <w:sz w:val="24"/>
          <w:szCs w:val="24"/>
        </w:rPr>
        <w:t>El único fundamento para inferir el fenómeno más arcaico (y su universalidad), es el fenómeno subsiguiente cuya presencia se observa</w:t>
      </w:r>
    </w:p>
    <w:p w14:paraId="2E0A83D9" w14:textId="42F48E4C" w:rsidR="00AD71A4" w:rsidRDefault="009F7013" w:rsidP="00305399">
      <w:pPr>
        <w:spacing w:after="0" w:line="360" w:lineRule="auto"/>
        <w:jc w:val="both"/>
        <w:rPr>
          <w:rFonts w:ascii="Arial" w:hAnsi="Arial" w:cs="Arial"/>
          <w:sz w:val="24"/>
          <w:szCs w:val="24"/>
        </w:rPr>
      </w:pPr>
      <w:r>
        <w:rPr>
          <w:rFonts w:ascii="Arial" w:hAnsi="Arial" w:cs="Arial"/>
          <w:sz w:val="24"/>
          <w:szCs w:val="24"/>
        </w:rPr>
        <w:tab/>
      </w:r>
      <w:r w:rsidR="00AD71A4">
        <w:rPr>
          <w:rFonts w:ascii="Arial" w:hAnsi="Arial" w:cs="Arial"/>
          <w:sz w:val="24"/>
          <w:szCs w:val="24"/>
        </w:rPr>
        <w:t xml:space="preserve">Veremos los ejemplos de la deducción de la forma de familia </w:t>
      </w:r>
      <w:r>
        <w:rPr>
          <w:rFonts w:ascii="Arial" w:hAnsi="Arial" w:cs="Arial"/>
          <w:sz w:val="24"/>
          <w:szCs w:val="24"/>
        </w:rPr>
        <w:tab/>
      </w:r>
      <w:r w:rsidR="00AD71A4">
        <w:rPr>
          <w:rFonts w:ascii="Arial" w:hAnsi="Arial" w:cs="Arial"/>
          <w:sz w:val="24"/>
          <w:szCs w:val="24"/>
        </w:rPr>
        <w:t xml:space="preserve">consanguínea; </w:t>
      </w:r>
      <w:r>
        <w:rPr>
          <w:rFonts w:ascii="Arial" w:hAnsi="Arial" w:cs="Arial"/>
          <w:sz w:val="24"/>
          <w:szCs w:val="24"/>
        </w:rPr>
        <w:t xml:space="preserve">y </w:t>
      </w:r>
      <w:r w:rsidR="00AD71A4">
        <w:rPr>
          <w:rFonts w:ascii="Arial" w:hAnsi="Arial" w:cs="Arial"/>
          <w:sz w:val="24"/>
          <w:szCs w:val="24"/>
        </w:rPr>
        <w:t>de un estado primitivo de promiscuidad sexual.</w:t>
      </w:r>
    </w:p>
    <w:p w14:paraId="7E842715" w14:textId="7909E2CC" w:rsidR="00EA6A88" w:rsidRDefault="00EA6A88" w:rsidP="009F7013">
      <w:pPr>
        <w:pStyle w:val="Prrafodelista"/>
        <w:numPr>
          <w:ilvl w:val="0"/>
          <w:numId w:val="4"/>
        </w:numPr>
        <w:spacing w:after="0" w:line="360" w:lineRule="auto"/>
        <w:jc w:val="both"/>
        <w:rPr>
          <w:rFonts w:ascii="Arial" w:hAnsi="Arial" w:cs="Arial"/>
          <w:sz w:val="24"/>
          <w:szCs w:val="24"/>
        </w:rPr>
      </w:pPr>
      <w:r w:rsidRPr="009F7013">
        <w:rPr>
          <w:rFonts w:ascii="Arial" w:hAnsi="Arial" w:cs="Arial"/>
          <w:sz w:val="24"/>
          <w:szCs w:val="24"/>
        </w:rPr>
        <w:t xml:space="preserve">Emplea ampliamente </w:t>
      </w:r>
      <w:r w:rsidRPr="00994FEC">
        <w:rPr>
          <w:rFonts w:ascii="Arial" w:hAnsi="Arial" w:cs="Arial"/>
          <w:b/>
          <w:bCs/>
          <w:sz w:val="24"/>
          <w:szCs w:val="24"/>
        </w:rPr>
        <w:t xml:space="preserve">el método </w:t>
      </w:r>
      <w:r w:rsidR="00FE5F3A">
        <w:rPr>
          <w:rFonts w:ascii="Arial" w:hAnsi="Arial" w:cs="Arial"/>
          <w:b/>
          <w:bCs/>
          <w:sz w:val="24"/>
          <w:szCs w:val="24"/>
        </w:rPr>
        <w:t>analógico</w:t>
      </w:r>
      <w:r w:rsidRPr="009F7013">
        <w:rPr>
          <w:rFonts w:ascii="Arial" w:hAnsi="Arial" w:cs="Arial"/>
          <w:sz w:val="24"/>
          <w:szCs w:val="24"/>
        </w:rPr>
        <w:t xml:space="preserve"> para superar las lagunas de conocimiento acerca de los remotos antepasados arios</w:t>
      </w:r>
      <w:r w:rsidR="00936D4A" w:rsidRPr="009F7013">
        <w:rPr>
          <w:rFonts w:ascii="Arial" w:hAnsi="Arial" w:cs="Arial"/>
          <w:sz w:val="24"/>
          <w:szCs w:val="24"/>
        </w:rPr>
        <w:t>, ya que su experiencia es semejante a la de los pueblos bárbaros o salvajes actuales.</w:t>
      </w:r>
      <w:r w:rsidRPr="009F7013">
        <w:rPr>
          <w:rFonts w:ascii="Arial" w:hAnsi="Arial" w:cs="Arial"/>
          <w:sz w:val="24"/>
          <w:szCs w:val="24"/>
        </w:rPr>
        <w:t xml:space="preserve"> El conocimiento del sistema gentilicio de los indios americanos será clave para co</w:t>
      </w:r>
      <w:r w:rsidR="00936D4A" w:rsidRPr="009F7013">
        <w:rPr>
          <w:rFonts w:ascii="Arial" w:hAnsi="Arial" w:cs="Arial"/>
          <w:sz w:val="24"/>
          <w:szCs w:val="24"/>
        </w:rPr>
        <w:t>mprender</w:t>
      </w:r>
      <w:r w:rsidRPr="009F7013">
        <w:rPr>
          <w:rFonts w:ascii="Arial" w:hAnsi="Arial" w:cs="Arial"/>
          <w:sz w:val="24"/>
          <w:szCs w:val="24"/>
        </w:rPr>
        <w:t xml:space="preserve"> la forma arcaica de las instituciones</w:t>
      </w:r>
      <w:r w:rsidR="00936D4A" w:rsidRPr="009F7013">
        <w:rPr>
          <w:rFonts w:ascii="Arial" w:hAnsi="Arial" w:cs="Arial"/>
          <w:sz w:val="24"/>
          <w:szCs w:val="24"/>
        </w:rPr>
        <w:t xml:space="preserve"> gentilicias</w:t>
      </w:r>
      <w:r w:rsidRPr="009F7013">
        <w:rPr>
          <w:rFonts w:ascii="Arial" w:hAnsi="Arial" w:cs="Arial"/>
          <w:sz w:val="24"/>
          <w:szCs w:val="24"/>
        </w:rPr>
        <w:t xml:space="preserve"> griegas y romanas.</w:t>
      </w:r>
    </w:p>
    <w:p w14:paraId="1D630310" w14:textId="7D7E1A7A" w:rsidR="00994FEC" w:rsidRPr="00EF0689" w:rsidRDefault="00422A93" w:rsidP="00422A93">
      <w:pPr>
        <w:pStyle w:val="Prrafodelista"/>
        <w:numPr>
          <w:ilvl w:val="0"/>
          <w:numId w:val="4"/>
        </w:numPr>
        <w:spacing w:after="0" w:line="360" w:lineRule="auto"/>
        <w:jc w:val="both"/>
        <w:rPr>
          <w:rFonts w:ascii="Arial" w:hAnsi="Arial" w:cs="Arial"/>
          <w:sz w:val="24"/>
          <w:szCs w:val="24"/>
        </w:rPr>
      </w:pPr>
      <w:r>
        <w:rPr>
          <w:rFonts w:ascii="Arial" w:hAnsi="Arial" w:cs="Arial"/>
          <w:sz w:val="24"/>
          <w:szCs w:val="24"/>
        </w:rPr>
        <w:t>Más allá de todos</w:t>
      </w:r>
      <w:r w:rsidR="00994FEC">
        <w:rPr>
          <w:rFonts w:ascii="Arial" w:hAnsi="Arial" w:cs="Arial"/>
          <w:sz w:val="24"/>
          <w:szCs w:val="24"/>
        </w:rPr>
        <w:t xml:space="preserve"> estos procedimientos deductivos</w:t>
      </w:r>
      <w:r w:rsidR="00AA32BF">
        <w:rPr>
          <w:rFonts w:ascii="Arial" w:hAnsi="Arial" w:cs="Arial"/>
          <w:sz w:val="24"/>
          <w:szCs w:val="24"/>
        </w:rPr>
        <w:t xml:space="preserve">, </w:t>
      </w:r>
      <w:r w:rsidR="00C26347">
        <w:rPr>
          <w:rFonts w:ascii="Arial" w:hAnsi="Arial" w:cs="Arial"/>
          <w:sz w:val="24"/>
          <w:szCs w:val="24"/>
        </w:rPr>
        <w:t xml:space="preserve">en su mayor parte, la obra se dedica al análisis de </w:t>
      </w:r>
      <w:r>
        <w:rPr>
          <w:rFonts w:ascii="Arial" w:hAnsi="Arial" w:cs="Arial"/>
          <w:sz w:val="24"/>
          <w:szCs w:val="24"/>
        </w:rPr>
        <w:t>hechos</w:t>
      </w:r>
      <w:r w:rsidR="00C26347">
        <w:rPr>
          <w:rFonts w:ascii="Arial" w:hAnsi="Arial" w:cs="Arial"/>
          <w:sz w:val="24"/>
          <w:szCs w:val="24"/>
        </w:rPr>
        <w:t xml:space="preserve">, instituciones y </w:t>
      </w:r>
      <w:r w:rsidR="00C26347" w:rsidRPr="00AA32BF">
        <w:rPr>
          <w:rFonts w:ascii="Arial" w:hAnsi="Arial" w:cs="Arial"/>
          <w:b/>
          <w:bCs/>
          <w:sz w:val="24"/>
          <w:szCs w:val="24"/>
        </w:rPr>
        <w:t>evidencias históricas</w:t>
      </w:r>
      <w:r>
        <w:rPr>
          <w:rFonts w:ascii="Arial" w:hAnsi="Arial" w:cs="Arial"/>
          <w:sz w:val="24"/>
          <w:szCs w:val="24"/>
        </w:rPr>
        <w:t xml:space="preserve"> para establece</w:t>
      </w:r>
      <w:r w:rsidR="00D71EBE">
        <w:rPr>
          <w:rFonts w:ascii="Arial" w:hAnsi="Arial" w:cs="Arial"/>
          <w:sz w:val="24"/>
          <w:szCs w:val="24"/>
        </w:rPr>
        <w:t>r</w:t>
      </w:r>
      <w:r>
        <w:rPr>
          <w:rFonts w:ascii="Arial" w:hAnsi="Arial" w:cs="Arial"/>
          <w:sz w:val="24"/>
          <w:szCs w:val="24"/>
        </w:rPr>
        <w:t xml:space="preserve"> las etapas de la evolución humana.</w:t>
      </w:r>
      <w:r w:rsidR="00EF0689" w:rsidRPr="00EF0689">
        <w:t xml:space="preserve"> </w:t>
      </w:r>
      <w:r w:rsidR="00EF0689">
        <w:t>“…</w:t>
      </w:r>
      <w:r w:rsidR="00EF0689" w:rsidRPr="00EF0689">
        <w:rPr>
          <w:rFonts w:ascii="Arial" w:hAnsi="Arial" w:cs="Arial"/>
          <w:sz w:val="24"/>
          <w:szCs w:val="24"/>
        </w:rPr>
        <w:t>las evidencias empíricas ocupan un lugar fundamental en su teoría, pero en el sentido de historia conjetural, es decir, a modo de ejemplo destinado a ser completado con casos más concretos a medida que avancen las investigaciones.</w:t>
      </w:r>
      <w:r w:rsidR="00EF0689">
        <w:rPr>
          <w:rFonts w:ascii="Arial" w:hAnsi="Arial" w:cs="Arial"/>
          <w:sz w:val="24"/>
          <w:szCs w:val="24"/>
        </w:rPr>
        <w:t>” (Rodríguez, 2020:8).</w:t>
      </w:r>
    </w:p>
    <w:p w14:paraId="3C7D189B" w14:textId="4598D6DF" w:rsidR="00AD71A4" w:rsidRPr="00FD52DA" w:rsidRDefault="00FD52DA" w:rsidP="00FD52DA">
      <w:pPr>
        <w:pStyle w:val="Prrafodelista"/>
        <w:numPr>
          <w:ilvl w:val="0"/>
          <w:numId w:val="4"/>
        </w:numPr>
        <w:spacing w:after="0" w:line="360" w:lineRule="auto"/>
        <w:jc w:val="both"/>
        <w:rPr>
          <w:rFonts w:ascii="Arial" w:hAnsi="Arial" w:cs="Arial"/>
          <w:sz w:val="24"/>
          <w:szCs w:val="24"/>
        </w:rPr>
      </w:pPr>
      <w:r>
        <w:rPr>
          <w:rFonts w:ascii="Arial" w:hAnsi="Arial" w:cs="Arial"/>
          <w:sz w:val="24"/>
          <w:szCs w:val="24"/>
        </w:rPr>
        <w:t xml:space="preserve">Apela a un </w:t>
      </w:r>
      <w:r w:rsidRPr="00994FEC">
        <w:rPr>
          <w:rFonts w:ascii="Arial" w:hAnsi="Arial" w:cs="Arial"/>
          <w:b/>
          <w:bCs/>
          <w:sz w:val="24"/>
          <w:szCs w:val="24"/>
        </w:rPr>
        <w:t>análisis estructural</w:t>
      </w:r>
      <w:r>
        <w:rPr>
          <w:rFonts w:ascii="Arial" w:hAnsi="Arial" w:cs="Arial"/>
          <w:sz w:val="24"/>
          <w:szCs w:val="24"/>
        </w:rPr>
        <w:t xml:space="preserve"> de hechos, instituciones e invenciones, es decir, da relevancia a las relaciones, conexiones internas, vinculaciones necesarias para el estudio de la sociedad</w:t>
      </w:r>
      <w:r w:rsidR="006C0630">
        <w:rPr>
          <w:rFonts w:ascii="Arial" w:hAnsi="Arial" w:cs="Arial"/>
          <w:sz w:val="24"/>
          <w:szCs w:val="24"/>
        </w:rPr>
        <w:t>. Para que se produzcan cambios en las instituciones, tienen que darse relaciones objetivas, “condiciones necesarias”, “movimientos</w:t>
      </w:r>
      <w:r w:rsidR="009B5C8F">
        <w:rPr>
          <w:rFonts w:ascii="Arial" w:hAnsi="Arial" w:cs="Arial"/>
          <w:sz w:val="24"/>
          <w:szCs w:val="24"/>
        </w:rPr>
        <w:t xml:space="preserve"> </w:t>
      </w:r>
      <w:r w:rsidR="006C0630">
        <w:rPr>
          <w:rFonts w:ascii="Arial" w:hAnsi="Arial" w:cs="Arial"/>
          <w:sz w:val="24"/>
          <w:szCs w:val="24"/>
        </w:rPr>
        <w:t>orgánicos de la sociedad”, “razones de peso”. Ejemplos</w:t>
      </w:r>
      <w:r w:rsidR="009B5C8F">
        <w:rPr>
          <w:rFonts w:ascii="Arial" w:hAnsi="Arial" w:cs="Arial"/>
          <w:sz w:val="24"/>
          <w:szCs w:val="24"/>
        </w:rPr>
        <w:t xml:space="preserve"> a trabajar</w:t>
      </w:r>
      <w:r w:rsidR="006C0630">
        <w:rPr>
          <w:rFonts w:ascii="Arial" w:hAnsi="Arial" w:cs="Arial"/>
          <w:sz w:val="24"/>
          <w:szCs w:val="24"/>
        </w:rPr>
        <w:t>.</w:t>
      </w:r>
      <w:r w:rsidR="009B5C8F">
        <w:rPr>
          <w:rFonts w:ascii="Arial" w:hAnsi="Arial" w:cs="Arial"/>
          <w:sz w:val="24"/>
          <w:szCs w:val="24"/>
        </w:rPr>
        <w:t xml:space="preserve"> e</w:t>
      </w:r>
      <w:r w:rsidR="006C0630">
        <w:rPr>
          <w:rFonts w:ascii="Arial" w:hAnsi="Arial" w:cs="Arial"/>
          <w:sz w:val="24"/>
          <w:szCs w:val="24"/>
        </w:rPr>
        <w:t>l cambio en la línea de descendencia, el ocaso de la gens</w:t>
      </w:r>
      <w:r w:rsidR="009B5C8F">
        <w:rPr>
          <w:rFonts w:ascii="Arial" w:hAnsi="Arial" w:cs="Arial"/>
          <w:sz w:val="24"/>
          <w:szCs w:val="24"/>
        </w:rPr>
        <w:t>, el paso del sistema turanio de parentesco al sistema ario.</w:t>
      </w:r>
      <w:r w:rsidR="00994FEC">
        <w:rPr>
          <w:rFonts w:ascii="Arial" w:hAnsi="Arial" w:cs="Arial"/>
          <w:sz w:val="24"/>
          <w:szCs w:val="24"/>
        </w:rPr>
        <w:t xml:space="preserve"> (este tipo de explicación se superpone con otro tipo de argumentación de carácter mental, de ideas</w:t>
      </w:r>
      <w:r w:rsidR="00DF17C0">
        <w:rPr>
          <w:rFonts w:ascii="Arial" w:hAnsi="Arial" w:cs="Arial"/>
          <w:sz w:val="24"/>
          <w:szCs w:val="24"/>
        </w:rPr>
        <w:t xml:space="preserve"> primarias</w:t>
      </w:r>
      <w:r w:rsidR="00994FEC">
        <w:rPr>
          <w:rFonts w:ascii="Arial" w:hAnsi="Arial" w:cs="Arial"/>
          <w:sz w:val="24"/>
          <w:szCs w:val="24"/>
        </w:rPr>
        <w:t>).</w:t>
      </w:r>
    </w:p>
    <w:p w14:paraId="6D35B7C8" w14:textId="0C34C40A" w:rsidR="00305399" w:rsidRDefault="00305399" w:rsidP="00305399">
      <w:pPr>
        <w:spacing w:after="0" w:line="360" w:lineRule="auto"/>
        <w:jc w:val="both"/>
        <w:rPr>
          <w:rFonts w:ascii="Arial" w:hAnsi="Arial" w:cs="Arial"/>
          <w:sz w:val="24"/>
          <w:szCs w:val="24"/>
        </w:rPr>
      </w:pPr>
    </w:p>
    <w:p w14:paraId="5F515859" w14:textId="4EB72852" w:rsidR="002735E7" w:rsidRDefault="002735E7" w:rsidP="00305399">
      <w:pPr>
        <w:spacing w:after="0" w:line="360" w:lineRule="auto"/>
        <w:jc w:val="both"/>
        <w:rPr>
          <w:rFonts w:ascii="Arial" w:hAnsi="Arial" w:cs="Arial"/>
          <w:sz w:val="24"/>
          <w:szCs w:val="24"/>
        </w:rPr>
      </w:pPr>
    </w:p>
    <w:p w14:paraId="6392B165" w14:textId="77777777" w:rsidR="002735E7" w:rsidRPr="00305399" w:rsidRDefault="002735E7" w:rsidP="00305399">
      <w:pPr>
        <w:spacing w:after="0" w:line="360" w:lineRule="auto"/>
        <w:jc w:val="both"/>
        <w:rPr>
          <w:rFonts w:ascii="Arial" w:hAnsi="Arial" w:cs="Arial"/>
          <w:sz w:val="24"/>
          <w:szCs w:val="24"/>
        </w:rPr>
      </w:pPr>
    </w:p>
    <w:p w14:paraId="6A96A20C" w14:textId="1E28794E" w:rsidR="00C36715" w:rsidRPr="00DB6BA7" w:rsidRDefault="002A55EC" w:rsidP="00C36715">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lastRenderedPageBreak/>
        <w:t xml:space="preserve">Valoraciones de la obra </w:t>
      </w:r>
      <w:r w:rsidRPr="002A55EC">
        <w:rPr>
          <w:rFonts w:ascii="Arial Rounded MT Bold" w:hAnsi="Arial Rounded MT Bold" w:cs="Arial"/>
          <w:b/>
          <w:bCs/>
          <w:i/>
          <w:iCs/>
          <w:color w:val="538135" w:themeColor="accent6" w:themeShade="BF"/>
          <w:sz w:val="28"/>
          <w:szCs w:val="28"/>
        </w:rPr>
        <w:t>La Sociedad Primitiva</w:t>
      </w:r>
      <w:r>
        <w:rPr>
          <w:rFonts w:ascii="Arial Rounded MT Bold" w:hAnsi="Arial Rounded MT Bold" w:cs="Arial"/>
          <w:b/>
          <w:bCs/>
          <w:color w:val="538135" w:themeColor="accent6" w:themeShade="BF"/>
          <w:sz w:val="28"/>
          <w:szCs w:val="28"/>
        </w:rPr>
        <w:t xml:space="preserve"> de Morgan</w:t>
      </w:r>
    </w:p>
    <w:p w14:paraId="2FD3878B" w14:textId="77777777" w:rsidR="00C36715" w:rsidRDefault="00C36715" w:rsidP="00C36715">
      <w:pPr>
        <w:rPr>
          <w:rFonts w:ascii="Arial" w:hAnsi="Arial" w:cs="Arial"/>
          <w:b/>
          <w:bCs/>
          <w:sz w:val="24"/>
          <w:szCs w:val="24"/>
        </w:rPr>
      </w:pPr>
    </w:p>
    <w:p w14:paraId="52B64877" w14:textId="5E2D14CE" w:rsidR="00C36715" w:rsidRDefault="00C36715" w:rsidP="00A23C08">
      <w:pPr>
        <w:spacing w:after="0" w:line="360" w:lineRule="auto"/>
        <w:jc w:val="both"/>
        <w:rPr>
          <w:rFonts w:ascii="Arial" w:hAnsi="Arial" w:cs="Arial"/>
          <w:sz w:val="24"/>
          <w:szCs w:val="24"/>
        </w:rPr>
      </w:pPr>
      <w:r>
        <w:rPr>
          <w:rFonts w:ascii="Arial" w:hAnsi="Arial" w:cs="Arial"/>
          <w:sz w:val="24"/>
          <w:szCs w:val="24"/>
        </w:rPr>
        <w:tab/>
      </w:r>
      <w:r w:rsidR="00A23C08">
        <w:rPr>
          <w:rFonts w:ascii="Arial" w:hAnsi="Arial" w:cs="Arial"/>
          <w:sz w:val="24"/>
          <w:szCs w:val="24"/>
        </w:rPr>
        <w:t>El tiempo de la teoría evolucionista es el tiempo de las grandes construcciones, de los grandes esquemas de la historia humana que permitirán ubicar a cada sociedad dentro de una escala evolutiva.</w:t>
      </w:r>
    </w:p>
    <w:p w14:paraId="044C1D2D" w14:textId="59C8037E" w:rsidR="00054231" w:rsidRDefault="00C36715" w:rsidP="00803AC1">
      <w:pPr>
        <w:spacing w:after="0" w:line="360" w:lineRule="auto"/>
        <w:jc w:val="both"/>
        <w:rPr>
          <w:rFonts w:ascii="Arial" w:hAnsi="Arial" w:cs="Arial"/>
          <w:sz w:val="24"/>
          <w:szCs w:val="24"/>
        </w:rPr>
      </w:pPr>
      <w:r>
        <w:rPr>
          <w:rFonts w:ascii="Arial" w:hAnsi="Arial" w:cs="Arial"/>
          <w:sz w:val="24"/>
          <w:szCs w:val="24"/>
        </w:rPr>
        <w:tab/>
      </w:r>
      <w:r w:rsidR="00803AC1">
        <w:rPr>
          <w:rFonts w:ascii="Arial" w:hAnsi="Arial" w:cs="Arial"/>
          <w:sz w:val="24"/>
          <w:szCs w:val="24"/>
        </w:rPr>
        <w:t>“</w:t>
      </w:r>
      <w:r w:rsidR="00803AC1" w:rsidRPr="001708C7">
        <w:rPr>
          <w:rFonts w:ascii="Arial" w:hAnsi="Arial" w:cs="Arial"/>
          <w:i/>
          <w:iCs/>
          <w:sz w:val="24"/>
          <w:szCs w:val="24"/>
        </w:rPr>
        <w:t>La Sociedad antigua</w:t>
      </w:r>
      <w:r w:rsidR="00803AC1">
        <w:rPr>
          <w:rFonts w:ascii="Arial" w:hAnsi="Arial" w:cs="Arial"/>
          <w:sz w:val="24"/>
          <w:szCs w:val="24"/>
        </w:rPr>
        <w:t xml:space="preserve"> recrea y reproduce los principales defectos de este enfoque [evolucionista], al tiempo que destaca brillantemente sus aspectos más ricos y sugerentes, desarrollándolos muchas veces hasta niveles jamás alcanzados por otros autores evolucionistas anteriores. Ese doble carácter de la mencionada obra de Morgan, en parte explica, tanto el derrumbamiento estruendoso de su construcción en la alborada del siglo XX, como su sorprendente vigencia constante</w:t>
      </w:r>
      <w:r w:rsidR="006D7512">
        <w:rPr>
          <w:rFonts w:ascii="Arial" w:hAnsi="Arial" w:cs="Arial"/>
          <w:sz w:val="24"/>
          <w:szCs w:val="24"/>
        </w:rPr>
        <w:t>, según se ponga el énfasis en algunos de los vicios evolucionistas que contiene el libro (y los elementos pasajeros y contingentes que derivan de consideraciones fácticas) o, por el contrario, en el núcleo de los postulados novedosos que plantea, sumamente audaces para su época.” (Díaz Polanco, 1977:11).</w:t>
      </w:r>
      <w:r w:rsidR="00054231">
        <w:rPr>
          <w:rStyle w:val="Refdenotaalpie"/>
          <w:rFonts w:ascii="Arial" w:hAnsi="Arial" w:cs="Arial"/>
          <w:sz w:val="24"/>
          <w:szCs w:val="24"/>
        </w:rPr>
        <w:footnoteReference w:id="1"/>
      </w:r>
    </w:p>
    <w:p w14:paraId="712ED519" w14:textId="6829517B" w:rsidR="002A55EC" w:rsidRPr="002A55EC" w:rsidRDefault="002A55EC" w:rsidP="00803AC1">
      <w:pPr>
        <w:spacing w:after="0" w:line="360" w:lineRule="auto"/>
        <w:jc w:val="both"/>
        <w:rPr>
          <w:rFonts w:ascii="Arial" w:hAnsi="Arial" w:cs="Arial"/>
          <w:sz w:val="24"/>
          <w:szCs w:val="24"/>
        </w:rPr>
      </w:pPr>
      <w:r>
        <w:rPr>
          <w:rFonts w:ascii="Arial" w:hAnsi="Arial" w:cs="Arial"/>
          <w:sz w:val="24"/>
          <w:szCs w:val="24"/>
        </w:rPr>
        <w:tab/>
        <w:t>“</w:t>
      </w:r>
      <w:r w:rsidRPr="002A55EC">
        <w:rPr>
          <w:rFonts w:ascii="Arial" w:hAnsi="Arial" w:cs="Arial"/>
          <w:sz w:val="24"/>
          <w:szCs w:val="24"/>
        </w:rPr>
        <w:t>En esta obra se encuentran aciertos y errores, pero es innegable la tarea colosal que lleva adelante, basada en el análisis y comparación de fuentes de distinto origen, con el fin de “ordenar” el devenir tanto de inventos y descubrimientos como de las instituciones.</w:t>
      </w:r>
      <w:r>
        <w:rPr>
          <w:rFonts w:ascii="Arial" w:hAnsi="Arial" w:cs="Arial"/>
          <w:sz w:val="24"/>
          <w:szCs w:val="24"/>
        </w:rPr>
        <w:t>” (Rodríguez, 2020: 3).</w:t>
      </w:r>
    </w:p>
    <w:p w14:paraId="1A9C6EA1" w14:textId="1427D705" w:rsidR="006D7512" w:rsidRDefault="005C7533" w:rsidP="00803AC1">
      <w:pPr>
        <w:spacing w:after="0" w:line="360" w:lineRule="auto"/>
        <w:jc w:val="both"/>
        <w:rPr>
          <w:rFonts w:ascii="Arial" w:hAnsi="Arial" w:cs="Arial"/>
          <w:sz w:val="24"/>
          <w:szCs w:val="24"/>
        </w:rPr>
      </w:pPr>
      <w:r>
        <w:rPr>
          <w:rFonts w:ascii="Arial" w:hAnsi="Arial" w:cs="Arial"/>
          <w:sz w:val="24"/>
          <w:szCs w:val="24"/>
        </w:rPr>
        <w:lastRenderedPageBreak/>
        <w:tab/>
      </w:r>
      <w:r w:rsidR="001708C7">
        <w:rPr>
          <w:rFonts w:ascii="Arial" w:hAnsi="Arial" w:cs="Arial"/>
          <w:sz w:val="24"/>
          <w:szCs w:val="24"/>
        </w:rPr>
        <w:t xml:space="preserve">Al momento de su publicación, </w:t>
      </w:r>
      <w:r w:rsidR="001708C7" w:rsidRPr="001708C7">
        <w:rPr>
          <w:rFonts w:ascii="Arial" w:hAnsi="Arial" w:cs="Arial"/>
          <w:i/>
          <w:iCs/>
          <w:sz w:val="24"/>
          <w:szCs w:val="24"/>
        </w:rPr>
        <w:t>La Sociedad Primitiva</w:t>
      </w:r>
      <w:r w:rsidR="001708C7">
        <w:rPr>
          <w:rFonts w:ascii="Arial" w:hAnsi="Arial" w:cs="Arial"/>
          <w:sz w:val="24"/>
          <w:szCs w:val="24"/>
        </w:rPr>
        <w:t xml:space="preserve"> no tuvo una buena recepción en los círculos del pensamiento establecido de la época.</w:t>
      </w:r>
    </w:p>
    <w:p w14:paraId="6542C3F0" w14:textId="334C274C" w:rsidR="003C5795" w:rsidRDefault="002A55EC" w:rsidP="00803AC1">
      <w:pPr>
        <w:spacing w:after="0" w:line="360" w:lineRule="auto"/>
        <w:jc w:val="both"/>
        <w:rPr>
          <w:rFonts w:ascii="Arial" w:hAnsi="Arial" w:cs="Arial"/>
          <w:sz w:val="24"/>
          <w:szCs w:val="24"/>
        </w:rPr>
      </w:pPr>
      <w:r>
        <w:rPr>
          <w:rFonts w:ascii="Arial" w:hAnsi="Arial" w:cs="Arial"/>
          <w:sz w:val="24"/>
          <w:szCs w:val="24"/>
        </w:rPr>
        <w:tab/>
        <w:t>“</w:t>
      </w:r>
      <w:r w:rsidRPr="002A55EC">
        <w:rPr>
          <w:rFonts w:ascii="Arial" w:hAnsi="Arial" w:cs="Arial"/>
          <w:sz w:val="24"/>
          <w:szCs w:val="24"/>
        </w:rPr>
        <w:t>Lo cierto es que esta obra no fue recibida con entusiasmo en el viejo continente. Tal vez por la perspectiva crítica que Morgan tenía sobre los puntos de vista de los historiadores europeos, que no apreciaban la importancia de estudiar la “estructura y principios” de la sociedad primitiva, centrándose en relatos sobre las sucesiones de reyes, guerras, etc. Tal vez porque al eurocentrismo de los teóricos europeos, Morgan opuso el suyo, enfatizando su condición de americano y republicano</w:t>
      </w:r>
      <w:r w:rsidR="00DF17C0">
        <w:rPr>
          <w:rFonts w:ascii="Arial" w:hAnsi="Arial" w:cs="Arial"/>
          <w:sz w:val="24"/>
          <w:szCs w:val="24"/>
        </w:rPr>
        <w:t xml:space="preserve">.” </w:t>
      </w:r>
      <w:r>
        <w:rPr>
          <w:rFonts w:ascii="Arial" w:hAnsi="Arial" w:cs="Arial"/>
          <w:sz w:val="24"/>
          <w:szCs w:val="24"/>
        </w:rPr>
        <w:t>(Rodríguez, 2020: 3).</w:t>
      </w:r>
      <w:r w:rsidR="003C5795">
        <w:rPr>
          <w:rFonts w:ascii="Arial" w:hAnsi="Arial" w:cs="Arial"/>
          <w:sz w:val="24"/>
          <w:szCs w:val="24"/>
        </w:rPr>
        <w:t xml:space="preserve"> </w:t>
      </w:r>
    </w:p>
    <w:p w14:paraId="7D709B57" w14:textId="1EFFFA33" w:rsidR="006742F3" w:rsidRDefault="005C7533" w:rsidP="005C7533">
      <w:pPr>
        <w:spacing w:after="0" w:line="360" w:lineRule="auto"/>
        <w:jc w:val="both"/>
        <w:rPr>
          <w:rFonts w:ascii="Arial" w:hAnsi="Arial" w:cs="Arial"/>
          <w:sz w:val="24"/>
          <w:szCs w:val="24"/>
        </w:rPr>
      </w:pPr>
      <w:r>
        <w:rPr>
          <w:rFonts w:ascii="Arial" w:hAnsi="Arial" w:cs="Arial"/>
          <w:sz w:val="24"/>
          <w:szCs w:val="24"/>
        </w:rPr>
        <w:tab/>
      </w:r>
      <w:r w:rsidR="001708C7">
        <w:rPr>
          <w:rFonts w:ascii="Arial" w:hAnsi="Arial" w:cs="Arial"/>
          <w:sz w:val="24"/>
          <w:szCs w:val="24"/>
        </w:rPr>
        <w:t>Por el contrario, Marx y Engels la acogieron con gran entusiasmo. Marx leyó el libro y tomó extensos apuntes del mismo</w:t>
      </w:r>
      <w:r w:rsidR="00DF17C0">
        <w:rPr>
          <w:rStyle w:val="Refdenotaalpie"/>
          <w:rFonts w:ascii="Arial" w:hAnsi="Arial" w:cs="Arial"/>
          <w:sz w:val="24"/>
          <w:szCs w:val="24"/>
        </w:rPr>
        <w:footnoteReference w:id="2"/>
      </w:r>
      <w:r w:rsidR="001708C7">
        <w:rPr>
          <w:rFonts w:ascii="Arial" w:hAnsi="Arial" w:cs="Arial"/>
          <w:sz w:val="24"/>
          <w:szCs w:val="24"/>
        </w:rPr>
        <w:t>, que luego de su muerte fueron re</w:t>
      </w:r>
      <w:r w:rsidR="00674BAC">
        <w:rPr>
          <w:rFonts w:ascii="Arial" w:hAnsi="Arial" w:cs="Arial"/>
          <w:sz w:val="24"/>
          <w:szCs w:val="24"/>
        </w:rPr>
        <w:t>tomados</w:t>
      </w:r>
      <w:r w:rsidR="001708C7">
        <w:rPr>
          <w:rFonts w:ascii="Arial" w:hAnsi="Arial" w:cs="Arial"/>
          <w:sz w:val="24"/>
          <w:szCs w:val="24"/>
        </w:rPr>
        <w:t xml:space="preserve"> por Engels para producir la obra </w:t>
      </w:r>
      <w:r w:rsidR="001708C7" w:rsidRPr="009B2FAB">
        <w:rPr>
          <w:rFonts w:ascii="Arial" w:hAnsi="Arial" w:cs="Arial"/>
          <w:i/>
          <w:iCs/>
          <w:sz w:val="24"/>
          <w:szCs w:val="24"/>
        </w:rPr>
        <w:t>El origen de la Familia, la Propiedad Privada y el Estado</w:t>
      </w:r>
      <w:r w:rsidR="00674BAC">
        <w:rPr>
          <w:rFonts w:ascii="Arial" w:hAnsi="Arial" w:cs="Arial"/>
          <w:i/>
          <w:iCs/>
          <w:sz w:val="24"/>
          <w:szCs w:val="24"/>
        </w:rPr>
        <w:t xml:space="preserve"> </w:t>
      </w:r>
      <w:r w:rsidR="00674BAC">
        <w:rPr>
          <w:rFonts w:ascii="Arial" w:hAnsi="Arial" w:cs="Arial"/>
          <w:sz w:val="24"/>
          <w:szCs w:val="24"/>
        </w:rPr>
        <w:t>(aparecida en 1884)</w:t>
      </w:r>
      <w:r w:rsidR="001708C7" w:rsidRPr="009B2FAB">
        <w:rPr>
          <w:rFonts w:ascii="Arial" w:hAnsi="Arial" w:cs="Arial"/>
          <w:i/>
          <w:iCs/>
          <w:sz w:val="24"/>
          <w:szCs w:val="24"/>
        </w:rPr>
        <w:t>.</w:t>
      </w:r>
      <w:r w:rsidR="009B2FAB">
        <w:rPr>
          <w:rFonts w:ascii="Arial" w:hAnsi="Arial" w:cs="Arial"/>
          <w:i/>
          <w:iCs/>
          <w:sz w:val="24"/>
          <w:szCs w:val="24"/>
        </w:rPr>
        <w:t xml:space="preserve"> </w:t>
      </w:r>
      <w:r w:rsidR="009B2FAB">
        <w:rPr>
          <w:rFonts w:ascii="Arial" w:hAnsi="Arial" w:cs="Arial"/>
          <w:sz w:val="24"/>
          <w:szCs w:val="24"/>
        </w:rPr>
        <w:t>Ambos autores tuvieron una alta valoración del trabajo de Morgan, al que Engels consideró como una versión -por sus propios medios- de la teoría materialista de la historia descubierta por Marx cuarenta años antes.</w:t>
      </w:r>
      <w:r w:rsidRPr="005C7533">
        <w:rPr>
          <w:rFonts w:ascii="Arial" w:hAnsi="Arial" w:cs="Arial"/>
          <w:sz w:val="24"/>
          <w:szCs w:val="24"/>
        </w:rPr>
        <w:t xml:space="preserve"> </w:t>
      </w:r>
      <w:r>
        <w:rPr>
          <w:rFonts w:ascii="Arial" w:hAnsi="Arial" w:cs="Arial"/>
          <w:sz w:val="24"/>
          <w:szCs w:val="24"/>
        </w:rPr>
        <w:t>La admiración de Marx y Engels hacia el autor, radica en la presencia de un núcleo materialista en la obra, aunque Morgan no asumiera por completo su importancia en el análisis del proceso histórico. La periodización de la historia que propuso Morgan, tomando como criterio el modo en que los seres humanos en sociedad se han procurado los medios de existencia</w:t>
      </w:r>
      <w:r w:rsidR="00DF17C0">
        <w:rPr>
          <w:rFonts w:ascii="Arial" w:hAnsi="Arial" w:cs="Arial"/>
          <w:sz w:val="24"/>
          <w:szCs w:val="24"/>
        </w:rPr>
        <w:t xml:space="preserve"> -a través de inventos y descubrimientos-</w:t>
      </w:r>
      <w:r>
        <w:rPr>
          <w:rFonts w:ascii="Arial" w:hAnsi="Arial" w:cs="Arial"/>
          <w:sz w:val="24"/>
          <w:szCs w:val="24"/>
        </w:rPr>
        <w:t xml:space="preserve"> inserta a Morgan en una concepción materialista de la historia. A su vez, ambos autores</w:t>
      </w:r>
      <w:r w:rsidR="00D77969">
        <w:rPr>
          <w:rFonts w:ascii="Arial" w:hAnsi="Arial" w:cs="Arial"/>
          <w:sz w:val="24"/>
          <w:szCs w:val="24"/>
        </w:rPr>
        <w:t xml:space="preserve"> se interesaron de manera especial por </w:t>
      </w:r>
      <w:r>
        <w:rPr>
          <w:rFonts w:ascii="Arial" w:hAnsi="Arial" w:cs="Arial"/>
          <w:sz w:val="24"/>
          <w:szCs w:val="24"/>
        </w:rPr>
        <w:t xml:space="preserve">el tratamiento que </w:t>
      </w:r>
      <w:r w:rsidR="00B02CE2">
        <w:rPr>
          <w:rFonts w:ascii="Arial" w:hAnsi="Arial" w:cs="Arial"/>
          <w:sz w:val="24"/>
          <w:szCs w:val="24"/>
        </w:rPr>
        <w:t>realizó</w:t>
      </w:r>
      <w:r w:rsidR="00D77969">
        <w:rPr>
          <w:rFonts w:ascii="Arial" w:hAnsi="Arial" w:cs="Arial"/>
          <w:sz w:val="24"/>
          <w:szCs w:val="24"/>
        </w:rPr>
        <w:t xml:space="preserve"> Morgan</w:t>
      </w:r>
      <w:r>
        <w:rPr>
          <w:rFonts w:ascii="Arial" w:hAnsi="Arial" w:cs="Arial"/>
          <w:sz w:val="24"/>
          <w:szCs w:val="24"/>
        </w:rPr>
        <w:t xml:space="preserve"> de la “propiedad” </w:t>
      </w:r>
      <w:r w:rsidR="00E71C94">
        <w:rPr>
          <w:rFonts w:ascii="Arial" w:hAnsi="Arial" w:cs="Arial"/>
          <w:sz w:val="24"/>
          <w:szCs w:val="24"/>
        </w:rPr>
        <w:t>(</w:t>
      </w:r>
      <w:r>
        <w:rPr>
          <w:rFonts w:ascii="Arial" w:hAnsi="Arial" w:cs="Arial"/>
          <w:sz w:val="24"/>
          <w:szCs w:val="24"/>
        </w:rPr>
        <w:t xml:space="preserve">Díaz Polanco, 1977). </w:t>
      </w:r>
    </w:p>
    <w:p w14:paraId="21B53FEE" w14:textId="415BCE0D" w:rsidR="001708C7" w:rsidRDefault="006742F3" w:rsidP="00803AC1">
      <w:pPr>
        <w:spacing w:after="0" w:line="360" w:lineRule="auto"/>
        <w:jc w:val="both"/>
        <w:rPr>
          <w:rFonts w:ascii="Arial" w:hAnsi="Arial" w:cs="Arial"/>
          <w:sz w:val="24"/>
          <w:szCs w:val="24"/>
        </w:rPr>
      </w:pPr>
      <w:r>
        <w:rPr>
          <w:rFonts w:ascii="Arial" w:hAnsi="Arial" w:cs="Arial"/>
          <w:sz w:val="24"/>
          <w:szCs w:val="24"/>
        </w:rPr>
        <w:tab/>
        <w:t xml:space="preserve">Sin embargo, </w:t>
      </w:r>
      <w:r w:rsidR="005C7533" w:rsidRPr="004F6394">
        <w:rPr>
          <w:rFonts w:ascii="Arial" w:hAnsi="Arial" w:cs="Arial"/>
          <w:i/>
          <w:iCs/>
          <w:sz w:val="24"/>
          <w:szCs w:val="24"/>
        </w:rPr>
        <w:t>El origen de la Familia</w:t>
      </w:r>
      <w:r w:rsidR="005C7533">
        <w:rPr>
          <w:rFonts w:ascii="Arial" w:hAnsi="Arial" w:cs="Arial"/>
          <w:sz w:val="24"/>
          <w:szCs w:val="24"/>
        </w:rPr>
        <w:t xml:space="preserve">… no es una reseña de La Sociedad Primitiva, ya que los objetivos y fines explicativos de Morgan y Engels son diferentes. </w:t>
      </w:r>
      <w:r w:rsidR="00DF17C0">
        <w:rPr>
          <w:rFonts w:ascii="Arial" w:hAnsi="Arial" w:cs="Arial"/>
          <w:sz w:val="24"/>
          <w:szCs w:val="24"/>
        </w:rPr>
        <w:t>“</w:t>
      </w:r>
      <w:r w:rsidR="00DF17C0" w:rsidRPr="00DF17C0">
        <w:rPr>
          <w:rFonts w:ascii="Arial" w:hAnsi="Arial" w:cs="Arial"/>
          <w:sz w:val="24"/>
          <w:szCs w:val="24"/>
        </w:rPr>
        <w:t>Engels destaca el materialismo de Morgan, pero rápidamente establece las diferencias con la teoría materialista de la historia, desarrollada por Marx y por él mismo, 40 años antes</w:t>
      </w:r>
      <w:r w:rsidR="00DF17C0">
        <w:rPr>
          <w:rFonts w:ascii="Arial" w:hAnsi="Arial" w:cs="Arial"/>
          <w:sz w:val="24"/>
          <w:szCs w:val="24"/>
        </w:rPr>
        <w:t xml:space="preserve"> (…) </w:t>
      </w:r>
      <w:r w:rsidR="00DF17C0" w:rsidRPr="00DF17C0">
        <w:rPr>
          <w:rFonts w:ascii="Arial" w:hAnsi="Arial" w:cs="Arial"/>
          <w:sz w:val="24"/>
          <w:szCs w:val="24"/>
        </w:rPr>
        <w:t xml:space="preserve">Para Marx y Engels el estudio del desarrollo de la historia de la humanidad es importante como </w:t>
      </w:r>
      <w:r w:rsidR="00DF17C0" w:rsidRPr="00DF17C0">
        <w:rPr>
          <w:rFonts w:ascii="Arial" w:hAnsi="Arial" w:cs="Arial"/>
          <w:sz w:val="24"/>
          <w:szCs w:val="24"/>
          <w:u w:val="single"/>
        </w:rPr>
        <w:t>objetivo político</w:t>
      </w:r>
      <w:r w:rsidR="00DF17C0" w:rsidRPr="00DF17C0">
        <w:rPr>
          <w:rFonts w:ascii="Arial" w:hAnsi="Arial" w:cs="Arial"/>
          <w:sz w:val="24"/>
          <w:szCs w:val="24"/>
        </w:rPr>
        <w:t xml:space="preserve">, </w:t>
      </w:r>
      <w:r w:rsidR="00DF17C0" w:rsidRPr="00DF17C0">
        <w:rPr>
          <w:rFonts w:ascii="Arial" w:hAnsi="Arial" w:cs="Arial"/>
          <w:sz w:val="24"/>
          <w:szCs w:val="24"/>
        </w:rPr>
        <w:lastRenderedPageBreak/>
        <w:t>mostrando que la transformación social no sólo es necesaria sino posible. Morgan, en cambio, se propone “presentar algunas pruebas del progreso humano a lo largo de […] diversas líneas y de períodos étnicos sucesivos, según se halla revelado por invenciones y descubrimientos y por el crecimiento de las ideas de gobierno, de familia y de propiedad” (</w:t>
      </w:r>
      <w:r w:rsidR="001C574E">
        <w:rPr>
          <w:rFonts w:ascii="Arial" w:hAnsi="Arial" w:cs="Arial"/>
          <w:sz w:val="24"/>
          <w:szCs w:val="24"/>
        </w:rPr>
        <w:t>Morgan</w:t>
      </w:r>
      <w:r w:rsidR="00E71C94">
        <w:rPr>
          <w:rFonts w:ascii="Arial" w:hAnsi="Arial" w:cs="Arial"/>
          <w:sz w:val="24"/>
          <w:szCs w:val="24"/>
        </w:rPr>
        <w:t>,</w:t>
      </w:r>
      <w:r w:rsidR="00DF17C0" w:rsidRPr="00DF17C0">
        <w:rPr>
          <w:rFonts w:ascii="Arial" w:hAnsi="Arial" w:cs="Arial"/>
          <w:sz w:val="24"/>
          <w:szCs w:val="24"/>
        </w:rPr>
        <w:t>1980</w:t>
      </w:r>
      <w:r w:rsidR="007932BD">
        <w:rPr>
          <w:rFonts w:ascii="Arial" w:hAnsi="Arial" w:cs="Arial"/>
          <w:sz w:val="24"/>
          <w:szCs w:val="24"/>
        </w:rPr>
        <w:t>, citado en Rodríguez, 2020:5</w:t>
      </w:r>
      <w:r w:rsidR="00DF17C0" w:rsidRPr="00DF17C0">
        <w:rPr>
          <w:rFonts w:ascii="Arial" w:hAnsi="Arial" w:cs="Arial"/>
          <w:sz w:val="24"/>
          <w:szCs w:val="24"/>
        </w:rPr>
        <w:t>), aclarando prontamente que lo hará a través de “dos líneas independientes de investigación”, ya que inventos y descubrimientos evolucionan manteniendo un vínculo progresivo, mientras que las instituciones lo han hecho a través de una relación de desenvolvimiento a partir “de unos principios primarios de pensamiento” (</w:t>
      </w:r>
      <w:r w:rsidR="00DF17C0">
        <w:rPr>
          <w:rFonts w:ascii="Arial" w:hAnsi="Arial" w:cs="Arial"/>
          <w:sz w:val="24"/>
          <w:szCs w:val="24"/>
        </w:rPr>
        <w:t xml:space="preserve">Rodríguez, 2020: </w:t>
      </w:r>
      <w:r w:rsidR="001206EB">
        <w:rPr>
          <w:rFonts w:ascii="Arial" w:hAnsi="Arial" w:cs="Arial"/>
          <w:sz w:val="24"/>
          <w:szCs w:val="24"/>
        </w:rPr>
        <w:t>5).</w:t>
      </w:r>
    </w:p>
    <w:p w14:paraId="42926990" w14:textId="00E0B447" w:rsidR="00753965" w:rsidRDefault="005C7533" w:rsidP="00803AC1">
      <w:pPr>
        <w:spacing w:after="0" w:line="360" w:lineRule="auto"/>
        <w:jc w:val="both"/>
        <w:rPr>
          <w:rFonts w:ascii="Arial" w:hAnsi="Arial" w:cs="Arial"/>
          <w:sz w:val="24"/>
          <w:szCs w:val="24"/>
        </w:rPr>
      </w:pPr>
      <w:r>
        <w:rPr>
          <w:rFonts w:ascii="Arial" w:hAnsi="Arial" w:cs="Arial"/>
          <w:sz w:val="24"/>
          <w:szCs w:val="24"/>
        </w:rPr>
        <w:tab/>
      </w:r>
      <w:r w:rsidR="006742F3">
        <w:rPr>
          <w:rFonts w:ascii="Arial" w:hAnsi="Arial" w:cs="Arial"/>
          <w:sz w:val="24"/>
          <w:szCs w:val="24"/>
        </w:rPr>
        <w:t>En relación con esto último, c</w:t>
      </w:r>
      <w:r w:rsidR="009B2FAB">
        <w:rPr>
          <w:rFonts w:ascii="Arial" w:hAnsi="Arial" w:cs="Arial"/>
          <w:sz w:val="24"/>
          <w:szCs w:val="24"/>
        </w:rPr>
        <w:t xml:space="preserve">abe señalar que </w:t>
      </w:r>
      <w:r w:rsidR="009B2FAB" w:rsidRPr="004C4611">
        <w:rPr>
          <w:rFonts w:ascii="Arial" w:hAnsi="Arial" w:cs="Arial"/>
          <w:i/>
          <w:iCs/>
          <w:sz w:val="24"/>
          <w:szCs w:val="24"/>
        </w:rPr>
        <w:t>La Sociedad Primitiva</w:t>
      </w:r>
      <w:r w:rsidR="009B2FAB">
        <w:rPr>
          <w:rFonts w:ascii="Arial" w:hAnsi="Arial" w:cs="Arial"/>
          <w:sz w:val="24"/>
          <w:szCs w:val="24"/>
        </w:rPr>
        <w:t xml:space="preserve"> ha suscitado debates</w:t>
      </w:r>
      <w:r w:rsidR="004C4611">
        <w:rPr>
          <w:rFonts w:ascii="Arial" w:hAnsi="Arial" w:cs="Arial"/>
          <w:sz w:val="24"/>
          <w:szCs w:val="24"/>
        </w:rPr>
        <w:t xml:space="preserve"> desde enfoques que </w:t>
      </w:r>
      <w:r w:rsidR="00753965">
        <w:rPr>
          <w:rFonts w:ascii="Arial" w:hAnsi="Arial" w:cs="Arial"/>
          <w:sz w:val="24"/>
          <w:szCs w:val="24"/>
        </w:rPr>
        <w:t>enfatizan</w:t>
      </w:r>
      <w:r w:rsidR="004C4611">
        <w:rPr>
          <w:rFonts w:ascii="Arial" w:hAnsi="Arial" w:cs="Arial"/>
          <w:sz w:val="24"/>
          <w:szCs w:val="24"/>
        </w:rPr>
        <w:t xml:space="preserve"> sus aspectos positivistas e idealistas</w:t>
      </w:r>
      <w:r w:rsidR="00D77969">
        <w:rPr>
          <w:rFonts w:ascii="Arial" w:hAnsi="Arial" w:cs="Arial"/>
          <w:sz w:val="24"/>
          <w:szCs w:val="24"/>
        </w:rPr>
        <w:t xml:space="preserve"> </w:t>
      </w:r>
      <w:r w:rsidR="00B02CE2">
        <w:rPr>
          <w:rFonts w:ascii="Arial" w:hAnsi="Arial" w:cs="Arial"/>
          <w:sz w:val="24"/>
          <w:szCs w:val="24"/>
        </w:rPr>
        <w:t>-</w:t>
      </w:r>
      <w:r w:rsidR="00D77969">
        <w:rPr>
          <w:rFonts w:ascii="Arial" w:hAnsi="Arial" w:cs="Arial"/>
          <w:sz w:val="24"/>
          <w:szCs w:val="24"/>
        </w:rPr>
        <w:t xml:space="preserve">de los que fue consciente Engels al escribir su libro y separar </w:t>
      </w:r>
      <w:r w:rsidR="00B02CE2">
        <w:rPr>
          <w:rFonts w:ascii="Arial" w:hAnsi="Arial" w:cs="Arial"/>
          <w:sz w:val="24"/>
          <w:szCs w:val="24"/>
        </w:rPr>
        <w:t>l</w:t>
      </w:r>
      <w:r w:rsidR="00D77969">
        <w:rPr>
          <w:rFonts w:ascii="Arial" w:hAnsi="Arial" w:cs="Arial"/>
          <w:sz w:val="24"/>
          <w:szCs w:val="24"/>
        </w:rPr>
        <w:t>o que es propio de lo que es de Morgan</w:t>
      </w:r>
      <w:r w:rsidR="00B02CE2">
        <w:rPr>
          <w:rFonts w:ascii="Arial" w:hAnsi="Arial" w:cs="Arial"/>
          <w:sz w:val="24"/>
          <w:szCs w:val="24"/>
        </w:rPr>
        <w:t xml:space="preserve"> </w:t>
      </w:r>
      <w:r w:rsidR="00D77969">
        <w:rPr>
          <w:rFonts w:ascii="Arial" w:hAnsi="Arial" w:cs="Arial"/>
          <w:sz w:val="24"/>
          <w:szCs w:val="24"/>
        </w:rPr>
        <w:t>.</w:t>
      </w:r>
      <w:r w:rsidR="00753965">
        <w:rPr>
          <w:rFonts w:ascii="Arial" w:hAnsi="Arial" w:cs="Arial"/>
          <w:sz w:val="24"/>
          <w:szCs w:val="24"/>
        </w:rPr>
        <w:t>Díaz Polanco (1977) señala que e</w:t>
      </w:r>
      <w:r w:rsidR="00D77969">
        <w:rPr>
          <w:rFonts w:ascii="Arial" w:hAnsi="Arial" w:cs="Arial"/>
          <w:sz w:val="24"/>
          <w:szCs w:val="24"/>
        </w:rPr>
        <w:t>n</w:t>
      </w:r>
      <w:r w:rsidR="00753965">
        <w:rPr>
          <w:rFonts w:ascii="Arial" w:hAnsi="Arial" w:cs="Arial"/>
          <w:sz w:val="24"/>
          <w:szCs w:val="24"/>
        </w:rPr>
        <w:t xml:space="preserve"> Morgan</w:t>
      </w:r>
      <w:r w:rsidR="00D77969">
        <w:rPr>
          <w:rFonts w:ascii="Arial" w:hAnsi="Arial" w:cs="Arial"/>
          <w:sz w:val="24"/>
          <w:szCs w:val="24"/>
        </w:rPr>
        <w:t xml:space="preserve"> coexisten </w:t>
      </w:r>
      <w:r w:rsidR="009E3133">
        <w:rPr>
          <w:rFonts w:ascii="Arial" w:hAnsi="Arial" w:cs="Arial"/>
          <w:sz w:val="24"/>
          <w:szCs w:val="24"/>
        </w:rPr>
        <w:t>la mencionada perspectiva</w:t>
      </w:r>
      <w:r w:rsidR="00D77969">
        <w:rPr>
          <w:rFonts w:ascii="Arial" w:hAnsi="Arial" w:cs="Arial"/>
          <w:sz w:val="24"/>
          <w:szCs w:val="24"/>
        </w:rPr>
        <w:t xml:space="preserve"> materialista</w:t>
      </w:r>
      <w:r w:rsidR="00753965">
        <w:rPr>
          <w:rFonts w:ascii="Arial" w:hAnsi="Arial" w:cs="Arial"/>
          <w:sz w:val="24"/>
          <w:szCs w:val="24"/>
        </w:rPr>
        <w:t xml:space="preserve"> </w:t>
      </w:r>
      <w:r w:rsidR="00D77969">
        <w:rPr>
          <w:rFonts w:ascii="Arial" w:hAnsi="Arial" w:cs="Arial"/>
          <w:sz w:val="24"/>
          <w:szCs w:val="24"/>
        </w:rPr>
        <w:t>y</w:t>
      </w:r>
      <w:r w:rsidR="00753965">
        <w:rPr>
          <w:rFonts w:ascii="Arial" w:hAnsi="Arial" w:cs="Arial"/>
          <w:sz w:val="24"/>
          <w:szCs w:val="24"/>
        </w:rPr>
        <w:t xml:space="preserve"> </w:t>
      </w:r>
      <w:r w:rsidR="009E3133">
        <w:rPr>
          <w:rFonts w:ascii="Arial" w:hAnsi="Arial" w:cs="Arial"/>
          <w:sz w:val="24"/>
          <w:szCs w:val="24"/>
        </w:rPr>
        <w:t>una</w:t>
      </w:r>
      <w:r w:rsidR="00753965">
        <w:rPr>
          <w:rFonts w:ascii="Arial" w:hAnsi="Arial" w:cs="Arial"/>
          <w:sz w:val="24"/>
          <w:szCs w:val="24"/>
        </w:rPr>
        <w:t xml:space="preserve"> vertiente idealista, que</w:t>
      </w:r>
      <w:r w:rsidR="006742F3">
        <w:rPr>
          <w:rFonts w:ascii="Arial" w:hAnsi="Arial" w:cs="Arial"/>
          <w:sz w:val="24"/>
          <w:szCs w:val="24"/>
        </w:rPr>
        <w:t xml:space="preserve"> -como vimos-</w:t>
      </w:r>
      <w:r w:rsidR="00753965">
        <w:rPr>
          <w:rFonts w:ascii="Arial" w:hAnsi="Arial" w:cs="Arial"/>
          <w:sz w:val="24"/>
          <w:szCs w:val="24"/>
        </w:rPr>
        <w:t xml:space="preserve"> presenta a las instituciones, no como derivación del desarrollo de la vida material, sino de “ideas primarias de pensamiento”</w:t>
      </w:r>
      <w:r>
        <w:rPr>
          <w:rFonts w:ascii="Arial" w:hAnsi="Arial" w:cs="Arial"/>
          <w:sz w:val="24"/>
          <w:szCs w:val="24"/>
        </w:rPr>
        <w:t xml:space="preserve">. Así, la concepción morganiana del proceso evolutivo </w:t>
      </w:r>
      <w:r w:rsidR="00D77969">
        <w:rPr>
          <w:rFonts w:ascii="Arial" w:hAnsi="Arial" w:cs="Arial"/>
          <w:sz w:val="24"/>
          <w:szCs w:val="24"/>
        </w:rPr>
        <w:t>“</w:t>
      </w:r>
      <w:r>
        <w:rPr>
          <w:rFonts w:ascii="Arial" w:hAnsi="Arial" w:cs="Arial"/>
          <w:sz w:val="24"/>
          <w:szCs w:val="24"/>
        </w:rPr>
        <w:t>combina dos motores o fuentes: las invenciones y descubrimientos, provocando las artes de subsistencia, y las “ideas originales”, que con su “desenvolvimiento” determinan las instituciones.” (Díaz Polanco, 1977:21).</w:t>
      </w:r>
    </w:p>
    <w:p w14:paraId="483EEED7" w14:textId="072CDE71" w:rsidR="003C5795" w:rsidRPr="009B2FAB" w:rsidRDefault="00577B91" w:rsidP="00803AC1">
      <w:pPr>
        <w:spacing w:after="0" w:line="360" w:lineRule="auto"/>
        <w:jc w:val="both"/>
        <w:rPr>
          <w:rFonts w:ascii="Arial" w:hAnsi="Arial" w:cs="Arial"/>
          <w:sz w:val="24"/>
          <w:szCs w:val="24"/>
        </w:rPr>
      </w:pPr>
      <w:r>
        <w:rPr>
          <w:rFonts w:ascii="Arial" w:hAnsi="Arial" w:cs="Arial"/>
          <w:sz w:val="24"/>
          <w:szCs w:val="24"/>
        </w:rPr>
        <w:tab/>
      </w:r>
    </w:p>
    <w:p w14:paraId="4D9FA3F5" w14:textId="77777777" w:rsidR="00225059" w:rsidRDefault="00873A9F" w:rsidP="00225059">
      <w:pPr>
        <w:spacing w:after="0" w:line="360" w:lineRule="auto"/>
        <w:jc w:val="both"/>
        <w:rPr>
          <w:rFonts w:ascii="Arial" w:hAnsi="Arial" w:cs="Arial"/>
        </w:rPr>
      </w:pPr>
      <w:r w:rsidRPr="00873A9F">
        <w:rPr>
          <w:rFonts w:ascii="Arial" w:hAnsi="Arial" w:cs="Arial"/>
        </w:rPr>
        <w:t>Bibliografía:</w:t>
      </w:r>
    </w:p>
    <w:p w14:paraId="144B4471" w14:textId="0D1C061F" w:rsidR="003E288E" w:rsidRDefault="003E288E" w:rsidP="00164B5A">
      <w:pPr>
        <w:spacing w:after="0" w:line="240" w:lineRule="auto"/>
        <w:jc w:val="both"/>
        <w:rPr>
          <w:rFonts w:ascii="Arial" w:hAnsi="Arial" w:cs="Arial"/>
        </w:rPr>
      </w:pPr>
      <w:r w:rsidRPr="003E288E">
        <w:rPr>
          <w:rFonts w:ascii="Arial" w:hAnsi="Arial" w:cs="Arial"/>
        </w:rPr>
        <w:t>Díaz Polanco, H</w:t>
      </w:r>
      <w:r w:rsidR="0008063B">
        <w:rPr>
          <w:rFonts w:ascii="Arial" w:hAnsi="Arial" w:cs="Arial"/>
        </w:rPr>
        <w:t>éctor</w:t>
      </w:r>
      <w:r w:rsidRPr="003E288E">
        <w:rPr>
          <w:rFonts w:ascii="Arial" w:hAnsi="Arial" w:cs="Arial"/>
        </w:rPr>
        <w:t xml:space="preserve"> (1977), “Morgan y el evolucionismo”, en Nueva Antropología, año II, núm 7, pp. 5-58, México, diciembre.</w:t>
      </w:r>
    </w:p>
    <w:p w14:paraId="1E9F6A17" w14:textId="77777777" w:rsidR="00164B5A" w:rsidRDefault="00164B5A" w:rsidP="00164B5A">
      <w:pPr>
        <w:spacing w:after="0" w:line="240" w:lineRule="auto"/>
        <w:jc w:val="both"/>
        <w:rPr>
          <w:rFonts w:ascii="Arial" w:hAnsi="Arial" w:cs="Arial"/>
        </w:rPr>
      </w:pPr>
    </w:p>
    <w:p w14:paraId="51CE5046" w14:textId="209311F3" w:rsidR="00EB2E89" w:rsidRDefault="003E288E" w:rsidP="00C36715">
      <w:pPr>
        <w:rPr>
          <w:rFonts w:ascii="Arial" w:hAnsi="Arial" w:cs="Arial"/>
        </w:rPr>
      </w:pPr>
      <w:r w:rsidRPr="003E288E">
        <w:rPr>
          <w:rFonts w:ascii="Arial" w:hAnsi="Arial" w:cs="Arial"/>
        </w:rPr>
        <w:t>Lisón Tolosana, C</w:t>
      </w:r>
      <w:r w:rsidR="0008063B">
        <w:rPr>
          <w:rFonts w:ascii="Arial" w:hAnsi="Arial" w:cs="Arial"/>
        </w:rPr>
        <w:t>armelo</w:t>
      </w:r>
      <w:r w:rsidRPr="003E288E">
        <w:rPr>
          <w:rFonts w:ascii="Arial" w:hAnsi="Arial" w:cs="Arial"/>
        </w:rPr>
        <w:t xml:space="preserve"> (1980), «Prólogo», Morgan, L (1980)</w:t>
      </w:r>
      <w:r>
        <w:rPr>
          <w:rFonts w:ascii="Arial" w:hAnsi="Arial" w:cs="Arial"/>
        </w:rPr>
        <w:t>.</w:t>
      </w:r>
      <w:r w:rsidRPr="003E288E">
        <w:rPr>
          <w:rFonts w:ascii="Arial" w:hAnsi="Arial" w:cs="Arial"/>
        </w:rPr>
        <w:t xml:space="preserve"> </w:t>
      </w:r>
      <w:r w:rsidRPr="003E288E">
        <w:rPr>
          <w:rFonts w:ascii="Arial" w:hAnsi="Arial" w:cs="Arial"/>
          <w:i/>
          <w:iCs/>
        </w:rPr>
        <w:t>La sociedad primitiva</w:t>
      </w:r>
      <w:r w:rsidRPr="003E288E">
        <w:rPr>
          <w:rFonts w:ascii="Arial" w:hAnsi="Arial" w:cs="Arial"/>
        </w:rPr>
        <w:t>, Madrid /Bogotá, Editorial Ayuso / Pluma,</w:t>
      </w:r>
    </w:p>
    <w:p w14:paraId="3871871D" w14:textId="3B1BC370" w:rsidR="00250E29" w:rsidRDefault="00250E29" w:rsidP="00C36715">
      <w:pPr>
        <w:rPr>
          <w:rFonts w:ascii="Arial" w:hAnsi="Arial" w:cs="Arial"/>
        </w:rPr>
      </w:pPr>
      <w:r>
        <w:rPr>
          <w:rFonts w:ascii="Arial" w:hAnsi="Arial" w:cs="Arial"/>
        </w:rPr>
        <w:t xml:space="preserve">Palerm, Ángel </w:t>
      </w:r>
      <w:r w:rsidR="00225059">
        <w:rPr>
          <w:rFonts w:ascii="Arial" w:hAnsi="Arial" w:cs="Arial"/>
        </w:rPr>
        <w:t xml:space="preserve">[1967] </w:t>
      </w:r>
      <w:r>
        <w:rPr>
          <w:rFonts w:ascii="Arial" w:hAnsi="Arial" w:cs="Arial"/>
        </w:rPr>
        <w:t xml:space="preserve">(1997). </w:t>
      </w:r>
      <w:r w:rsidRPr="00225059">
        <w:rPr>
          <w:rFonts w:ascii="Arial" w:hAnsi="Arial" w:cs="Arial"/>
          <w:i/>
          <w:iCs/>
        </w:rPr>
        <w:t>Introducción a la teoría etnológica. Treinta lecciones</w:t>
      </w:r>
      <w:r>
        <w:rPr>
          <w:rFonts w:ascii="Arial" w:hAnsi="Arial" w:cs="Arial"/>
        </w:rPr>
        <w:t xml:space="preserve">. </w:t>
      </w:r>
      <w:r w:rsidR="00225059">
        <w:rPr>
          <w:rFonts w:ascii="Arial" w:hAnsi="Arial" w:cs="Arial"/>
        </w:rPr>
        <w:t>Instituto de Ciencias Sociales-</w:t>
      </w:r>
      <w:r>
        <w:rPr>
          <w:rFonts w:ascii="Arial" w:hAnsi="Arial" w:cs="Arial"/>
        </w:rPr>
        <w:t>Universidad Iberoamericana</w:t>
      </w:r>
      <w:r w:rsidR="00225059">
        <w:rPr>
          <w:rFonts w:ascii="Arial" w:hAnsi="Arial" w:cs="Arial"/>
        </w:rPr>
        <w:t>. México.</w:t>
      </w:r>
    </w:p>
    <w:p w14:paraId="43F1677C" w14:textId="52D2F907" w:rsidR="00225059" w:rsidRPr="003E288E" w:rsidRDefault="00225059" w:rsidP="00C36715">
      <w:pPr>
        <w:rPr>
          <w:rFonts w:ascii="Arial" w:hAnsi="Arial" w:cs="Arial"/>
        </w:rPr>
      </w:pPr>
      <w:r>
        <w:rPr>
          <w:rFonts w:ascii="Arial" w:hAnsi="Arial" w:cs="Arial"/>
        </w:rPr>
        <w:t xml:space="preserve">Rodríguez, Gloria (2020). </w:t>
      </w:r>
      <w:r w:rsidR="001511C2">
        <w:rPr>
          <w:rFonts w:ascii="Arial" w:hAnsi="Arial" w:cs="Arial"/>
        </w:rPr>
        <w:t>“Lewis H. Morgan. Enfoque en la teoría del hombre y de la historia” Material de apoyo para estudiantes, circulación interna Cátedra Corrientes Antropológicas I.</w:t>
      </w:r>
    </w:p>
    <w:sectPr w:rsidR="00225059" w:rsidRPr="003E288E">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AAB97" w14:textId="77777777" w:rsidR="00986F76" w:rsidRDefault="00986F76" w:rsidP="00DF17C0">
      <w:pPr>
        <w:spacing w:after="0" w:line="240" w:lineRule="auto"/>
      </w:pPr>
      <w:r>
        <w:separator/>
      </w:r>
    </w:p>
  </w:endnote>
  <w:endnote w:type="continuationSeparator" w:id="0">
    <w:p w14:paraId="03BC74E5" w14:textId="77777777" w:rsidR="00986F76" w:rsidRDefault="00986F76" w:rsidP="00DF1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414151"/>
      <w:docPartObj>
        <w:docPartGallery w:val="Page Numbers (Bottom of Page)"/>
        <w:docPartUnique/>
      </w:docPartObj>
    </w:sdtPr>
    <w:sdtContent>
      <w:p w14:paraId="4A7B63CF" w14:textId="1B16831C" w:rsidR="009A42BD" w:rsidRDefault="009A42BD">
        <w:pPr>
          <w:pStyle w:val="Piedepgina"/>
          <w:jc w:val="center"/>
        </w:pPr>
        <w:r>
          <w:rPr>
            <w:noProof/>
          </w:rPr>
          <mc:AlternateContent>
            <mc:Choice Requires="wps">
              <w:drawing>
                <wp:inline distT="0" distB="0" distL="0" distR="0" wp14:anchorId="486F588F" wp14:editId="597EDFED">
                  <wp:extent cx="5467350" cy="45085"/>
                  <wp:effectExtent l="0" t="9525" r="0" b="2540"/>
                  <wp:docPr id="6" name="Diagrama de flujo: decisión 6"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shapetype w14:anchorId="0ACC23BA" id="_x0000_t110" coordsize="21600,21600" o:spt="110" path="m10800,l,10800,10800,21600,21600,10800xe">
                  <v:stroke joinstyle="miter"/>
                  <v:path gradientshapeok="t" o:connecttype="rect" textboxrect="5400,5400,16200,16200"/>
                </v:shapetype>
                <v:shape id="Diagrama de flujo: decisión 6"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" fillcolor="black" stroked="f">
                  <v:fill r:id="rId1" o:title="" type="pattern"/>
                  <w10:anchorlock/>
                </v:shape>
              </w:pict>
            </mc:Fallback>
          </mc:AlternateContent>
        </w:r>
      </w:p>
      <w:p w14:paraId="7AB0E9D1" w14:textId="7E2636F0" w:rsidR="009A42BD" w:rsidRDefault="009A42BD">
        <w:pPr>
          <w:pStyle w:val="Piedepgina"/>
          <w:jc w:val="center"/>
        </w:pPr>
        <w:r>
          <w:fldChar w:fldCharType="begin"/>
        </w:r>
        <w:r>
          <w:instrText>PAGE    \* MERGEFORMAT</w:instrText>
        </w:r>
        <w:r>
          <w:fldChar w:fldCharType="separate"/>
        </w:r>
        <w:r>
          <w:rPr>
            <w:lang w:val="es-ES"/>
          </w:rPr>
          <w:t>2</w:t>
        </w:r>
        <w:r>
          <w:fldChar w:fldCharType="end"/>
        </w:r>
      </w:p>
    </w:sdtContent>
  </w:sdt>
  <w:p w14:paraId="14433CFF" w14:textId="1769946A" w:rsidR="009A42BD" w:rsidRDefault="009A42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D25E7" w14:textId="77777777" w:rsidR="00986F76" w:rsidRDefault="00986F76" w:rsidP="00DF17C0">
      <w:pPr>
        <w:spacing w:after="0" w:line="240" w:lineRule="auto"/>
      </w:pPr>
      <w:r>
        <w:separator/>
      </w:r>
    </w:p>
  </w:footnote>
  <w:footnote w:type="continuationSeparator" w:id="0">
    <w:p w14:paraId="1ED84816" w14:textId="77777777" w:rsidR="00986F76" w:rsidRDefault="00986F76" w:rsidP="00DF17C0">
      <w:pPr>
        <w:spacing w:after="0" w:line="240" w:lineRule="auto"/>
      </w:pPr>
      <w:r>
        <w:continuationSeparator/>
      </w:r>
    </w:p>
  </w:footnote>
  <w:footnote w:id="1">
    <w:p w14:paraId="606A0E64" w14:textId="7525F3B0" w:rsidR="00054231" w:rsidRPr="00054231" w:rsidRDefault="00054231" w:rsidP="00054231">
      <w:pPr>
        <w:spacing w:after="0" w:line="240" w:lineRule="auto"/>
        <w:jc w:val="both"/>
        <w:rPr>
          <w:rFonts w:ascii="Arial" w:hAnsi="Arial" w:cs="Arial"/>
        </w:rPr>
      </w:pPr>
      <w:r>
        <w:rPr>
          <w:rStyle w:val="Refdenotaalpie"/>
        </w:rPr>
        <w:footnoteRef/>
      </w:r>
      <w:r>
        <w:t xml:space="preserve"> </w:t>
      </w:r>
      <w:r w:rsidRPr="00054231">
        <w:rPr>
          <w:rFonts w:ascii="Arial" w:hAnsi="Arial" w:cs="Arial"/>
        </w:rPr>
        <w:t>La crítica antropológica se ha mostrado más bien acre con Morgan, pero es reconocido su mérito como pionero en realizar investigación de campo, con los indígenas</w:t>
      </w:r>
      <w:r>
        <w:rPr>
          <w:rFonts w:ascii="Arial" w:hAnsi="Arial" w:cs="Arial"/>
        </w:rPr>
        <w:t xml:space="preserve"> (Lisón Tolosana, 1980</w:t>
      </w:r>
      <w:r w:rsidRPr="00054231">
        <w:rPr>
          <w:rFonts w:ascii="Arial" w:hAnsi="Arial" w:cs="Arial"/>
        </w:rPr>
        <w:t xml:space="preserve">). Ángel Palerm </w:t>
      </w:r>
      <w:r>
        <w:rPr>
          <w:rFonts w:ascii="Arial" w:hAnsi="Arial" w:cs="Arial"/>
        </w:rPr>
        <w:t xml:space="preserve">también </w:t>
      </w:r>
      <w:r w:rsidRPr="00054231">
        <w:rPr>
          <w:rFonts w:ascii="Arial" w:hAnsi="Arial" w:cs="Arial"/>
        </w:rPr>
        <w:t>pone de manifiesto el desdén con que se vieron tratadas las teorías de Morgan y su obra principal, especialmente de</w:t>
      </w:r>
      <w:r>
        <w:rPr>
          <w:rFonts w:ascii="Arial" w:hAnsi="Arial" w:cs="Arial"/>
        </w:rPr>
        <w:t>sde enfoques difusionistas y particularistas:</w:t>
      </w:r>
      <w:r w:rsidRPr="00054231">
        <w:rPr>
          <w:rFonts w:ascii="Arial" w:hAnsi="Arial" w:cs="Arial"/>
        </w:rPr>
        <w:t xml:space="preserve"> “Morgan no trató de establecer un esquema definitivo de la evolución, como se lo acusa desde la escuela boasiana. Sobre la base de las informaciones de que disponía, montó un esquema provisional del orden de la evolución, e indicó lo que le parecían ser los estadios principales, caracterizando cada uno de ellos por un complejo de rasgos culturales. (…) Es cierto que en ocasiones sus criterios sobre los rasgos diagnósticos de una etapa o estadio lo lleva a clasificar erróneamente el nivel de desarrollo de algunas culturas (…) Resulta fácil hoy día refutar a Morgan, tan fácil como estéril. (…) (Palerm, 1997:57).</w:t>
      </w:r>
      <w:r w:rsidR="002735E7">
        <w:rPr>
          <w:rFonts w:ascii="Arial" w:hAnsi="Arial" w:cs="Arial"/>
        </w:rPr>
        <w:t xml:space="preserve"> “</w:t>
      </w:r>
      <w:r w:rsidRPr="00054231">
        <w:rPr>
          <w:rFonts w:ascii="Arial" w:hAnsi="Arial" w:cs="Arial"/>
        </w:rPr>
        <w:t>La aceptación implícita del paralelismo extremo abrió un amplio frente de ataque para las escuelas difusionistas. Durante años estuvo de moda probar sus equivocaciones con los nuevos materiales aportados por la arqueología (que estaba en la infancia en tiempos de Morgan) y por la etnografía. Pocos son los que reconocen que Morgan aceptó los fenómenos de difusión cultural, pero que no los consideraba como verdaderas fuerzas motrices de la evolución concebida como un proceso universal (…l)” (Palerm,1997: 57-58)</w:t>
      </w:r>
    </w:p>
    <w:p w14:paraId="693AD6CE" w14:textId="5FB6F66E" w:rsidR="00054231" w:rsidRPr="00054231" w:rsidRDefault="00054231" w:rsidP="00054231">
      <w:pPr>
        <w:spacing w:after="0" w:line="240" w:lineRule="auto"/>
        <w:jc w:val="both"/>
        <w:rPr>
          <w:rFonts w:ascii="Arial" w:hAnsi="Arial" w:cs="Arial"/>
        </w:rPr>
      </w:pPr>
    </w:p>
    <w:p w14:paraId="412821DB" w14:textId="114F9B78" w:rsidR="00054231" w:rsidRDefault="00054231">
      <w:pPr>
        <w:pStyle w:val="Textonotapie"/>
      </w:pPr>
    </w:p>
  </w:footnote>
  <w:footnote w:id="2">
    <w:p w14:paraId="221D1A25" w14:textId="34594B69" w:rsidR="003E288E" w:rsidRPr="00266762" w:rsidRDefault="00DF17C0" w:rsidP="003E288E">
      <w:pPr>
        <w:rPr>
          <w:rFonts w:ascii="Arial" w:hAnsi="Arial" w:cs="Arial"/>
        </w:rPr>
      </w:pPr>
      <w:r w:rsidRPr="00266762">
        <w:rPr>
          <w:rStyle w:val="Refdenotaalpie"/>
          <w:rFonts w:ascii="Arial" w:hAnsi="Arial" w:cs="Arial"/>
        </w:rPr>
        <w:footnoteRef/>
      </w:r>
      <w:r w:rsidR="00266762" w:rsidRPr="00266762">
        <w:rPr>
          <w:rFonts w:ascii="Arial" w:hAnsi="Arial" w:cs="Arial"/>
        </w:rPr>
        <w:t>Esos manuscritos quedaron inéditos por largo tiempo</w:t>
      </w:r>
      <w:r w:rsidR="000513D4">
        <w:rPr>
          <w:rFonts w:ascii="Arial" w:hAnsi="Arial" w:cs="Arial"/>
        </w:rPr>
        <w:t xml:space="preserve">. </w:t>
      </w:r>
      <w:r w:rsidR="00266762" w:rsidRPr="00266762">
        <w:rPr>
          <w:rFonts w:ascii="Arial" w:hAnsi="Arial" w:cs="Arial"/>
        </w:rPr>
        <w:t>En 19</w:t>
      </w:r>
      <w:r w:rsidR="00A666CC">
        <w:rPr>
          <w:rFonts w:ascii="Arial" w:hAnsi="Arial" w:cs="Arial"/>
        </w:rPr>
        <w:t>72</w:t>
      </w:r>
      <w:r w:rsidR="00266762" w:rsidRPr="00266762">
        <w:rPr>
          <w:rFonts w:ascii="Arial" w:hAnsi="Arial" w:cs="Arial"/>
        </w:rPr>
        <w:t>, Lawrence Krader public</w:t>
      </w:r>
      <w:r w:rsidR="009A5A4B">
        <w:rPr>
          <w:rFonts w:ascii="Arial" w:hAnsi="Arial" w:cs="Arial"/>
        </w:rPr>
        <w:t>ó</w:t>
      </w:r>
      <w:r w:rsidR="00A666CC">
        <w:rPr>
          <w:rFonts w:ascii="Arial" w:hAnsi="Arial" w:cs="Arial"/>
        </w:rPr>
        <w:t xml:space="preserve"> el texto completo de los cuadernos</w:t>
      </w:r>
      <w:r w:rsidR="00266762" w:rsidRPr="00266762">
        <w:rPr>
          <w:rFonts w:ascii="Arial" w:hAnsi="Arial" w:cs="Arial"/>
        </w:rPr>
        <w:t xml:space="preserve"> en el libro </w:t>
      </w:r>
      <w:r w:rsidR="003E288E" w:rsidRPr="00266762">
        <w:rPr>
          <w:rFonts w:ascii="Arial" w:hAnsi="Arial" w:cs="Arial"/>
          <w:i/>
          <w:iCs/>
        </w:rPr>
        <w:t>Los apuntes etnológicos de Marx</w:t>
      </w:r>
      <w:r w:rsidR="00266762" w:rsidRPr="00266762">
        <w:rPr>
          <w:rFonts w:ascii="Arial" w:hAnsi="Arial" w:cs="Arial"/>
        </w:rPr>
        <w:t>. Lo retomaremos la próxima clase, cuando abordemos las relaciones entre el marxismo y la antropología en el siglo XIX.</w:t>
      </w:r>
    </w:p>
    <w:p w14:paraId="787900F8" w14:textId="5180C67F" w:rsidR="00DF17C0" w:rsidRDefault="00DF17C0">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54CD"/>
    <w:multiLevelType w:val="hybridMultilevel"/>
    <w:tmpl w:val="16E6E3F2"/>
    <w:lvl w:ilvl="0" w:tplc="2C0A0003">
      <w:start w:val="1"/>
      <w:numFmt w:val="bullet"/>
      <w:lvlText w:val="o"/>
      <w:lvlJc w:val="left"/>
      <w:pPr>
        <w:ind w:left="720" w:hanging="360"/>
      </w:pPr>
      <w:rPr>
        <w:rFonts w:ascii="Courier New" w:hAnsi="Courier New" w:cs="Courier New"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63838CA"/>
    <w:multiLevelType w:val="hybridMultilevel"/>
    <w:tmpl w:val="E574134C"/>
    <w:lvl w:ilvl="0" w:tplc="D5F4B240">
      <w:start w:val="1"/>
      <w:numFmt w:val="decimal"/>
      <w:lvlText w:val="%1-"/>
      <w:lvlJc w:val="left"/>
      <w:pPr>
        <w:ind w:left="720" w:hanging="360"/>
      </w:pPr>
      <w:rPr>
        <w:rFonts w:asciiTheme="minorHAnsi" w:hAnsiTheme="minorHAnsi" w:cstheme="minorBidi"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3" w15:restartNumberingAfterBreak="0">
    <w:nsid w:val="5CB30FD7"/>
    <w:multiLevelType w:val="hybridMultilevel"/>
    <w:tmpl w:val="FF5049E6"/>
    <w:lvl w:ilvl="0" w:tplc="2C0A0003">
      <w:start w:val="1"/>
      <w:numFmt w:val="bullet"/>
      <w:lvlText w:val="o"/>
      <w:lvlJc w:val="left"/>
      <w:pPr>
        <w:ind w:left="720" w:hanging="360"/>
      </w:pPr>
      <w:rPr>
        <w:rFonts w:ascii="Courier New" w:hAnsi="Courier New" w:cs="Courier New"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5727646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0092070">
    <w:abstractNumId w:val="1"/>
  </w:num>
  <w:num w:numId="3" w16cid:durableId="1656837424">
    <w:abstractNumId w:val="0"/>
  </w:num>
  <w:num w:numId="4" w16cid:durableId="5070639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715"/>
    <w:rsid w:val="00027C71"/>
    <w:rsid w:val="000513D4"/>
    <w:rsid w:val="00054231"/>
    <w:rsid w:val="0008063B"/>
    <w:rsid w:val="00092DDD"/>
    <w:rsid w:val="000E345E"/>
    <w:rsid w:val="001206EB"/>
    <w:rsid w:val="001511C2"/>
    <w:rsid w:val="00164B5A"/>
    <w:rsid w:val="001708C7"/>
    <w:rsid w:val="00171D1A"/>
    <w:rsid w:val="001C574E"/>
    <w:rsid w:val="001F3325"/>
    <w:rsid w:val="00225059"/>
    <w:rsid w:val="00250E29"/>
    <w:rsid w:val="00265FAA"/>
    <w:rsid w:val="00266762"/>
    <w:rsid w:val="002735E7"/>
    <w:rsid w:val="00290BEE"/>
    <w:rsid w:val="002A095E"/>
    <w:rsid w:val="002A55EC"/>
    <w:rsid w:val="002A57CA"/>
    <w:rsid w:val="00305399"/>
    <w:rsid w:val="003271CA"/>
    <w:rsid w:val="00335CAF"/>
    <w:rsid w:val="003473E5"/>
    <w:rsid w:val="0038481B"/>
    <w:rsid w:val="003C5795"/>
    <w:rsid w:val="003D248E"/>
    <w:rsid w:val="003E288E"/>
    <w:rsid w:val="00422A93"/>
    <w:rsid w:val="004358D0"/>
    <w:rsid w:val="00483C5B"/>
    <w:rsid w:val="004C4611"/>
    <w:rsid w:val="004F6394"/>
    <w:rsid w:val="0055159E"/>
    <w:rsid w:val="00572901"/>
    <w:rsid w:val="00577B91"/>
    <w:rsid w:val="00595071"/>
    <w:rsid w:val="005C7533"/>
    <w:rsid w:val="00622A52"/>
    <w:rsid w:val="00656EB9"/>
    <w:rsid w:val="006742F3"/>
    <w:rsid w:val="00674BAC"/>
    <w:rsid w:val="00675561"/>
    <w:rsid w:val="006C0630"/>
    <w:rsid w:val="006D7512"/>
    <w:rsid w:val="006E107A"/>
    <w:rsid w:val="006E3002"/>
    <w:rsid w:val="006F4844"/>
    <w:rsid w:val="00753965"/>
    <w:rsid w:val="007932BD"/>
    <w:rsid w:val="00803AC1"/>
    <w:rsid w:val="00873A9F"/>
    <w:rsid w:val="008F1354"/>
    <w:rsid w:val="00936D4A"/>
    <w:rsid w:val="00986F76"/>
    <w:rsid w:val="00994FEC"/>
    <w:rsid w:val="009A42BD"/>
    <w:rsid w:val="009A5A4B"/>
    <w:rsid w:val="009B2FAB"/>
    <w:rsid w:val="009B5C8F"/>
    <w:rsid w:val="009E3133"/>
    <w:rsid w:val="009F7013"/>
    <w:rsid w:val="00A23C08"/>
    <w:rsid w:val="00A666CC"/>
    <w:rsid w:val="00A77807"/>
    <w:rsid w:val="00AA32BF"/>
    <w:rsid w:val="00AD71A4"/>
    <w:rsid w:val="00AE3D52"/>
    <w:rsid w:val="00B02CE2"/>
    <w:rsid w:val="00B122CA"/>
    <w:rsid w:val="00B131EA"/>
    <w:rsid w:val="00B709B0"/>
    <w:rsid w:val="00C26347"/>
    <w:rsid w:val="00C36715"/>
    <w:rsid w:val="00C85C0B"/>
    <w:rsid w:val="00C85E0C"/>
    <w:rsid w:val="00CE1EF6"/>
    <w:rsid w:val="00D33F93"/>
    <w:rsid w:val="00D5708F"/>
    <w:rsid w:val="00D71EBE"/>
    <w:rsid w:val="00D77969"/>
    <w:rsid w:val="00DE5ED1"/>
    <w:rsid w:val="00DF17C0"/>
    <w:rsid w:val="00E154BC"/>
    <w:rsid w:val="00E24936"/>
    <w:rsid w:val="00E4638A"/>
    <w:rsid w:val="00E679FB"/>
    <w:rsid w:val="00E71C94"/>
    <w:rsid w:val="00E92128"/>
    <w:rsid w:val="00EA6A88"/>
    <w:rsid w:val="00EB2E89"/>
    <w:rsid w:val="00EF0689"/>
    <w:rsid w:val="00EF7970"/>
    <w:rsid w:val="00FC0E3F"/>
    <w:rsid w:val="00FD3D2E"/>
    <w:rsid w:val="00FD52DA"/>
    <w:rsid w:val="00FE5F3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5480B"/>
  <w15:chartTrackingRefBased/>
  <w15:docId w15:val="{66BB8481-2131-4EDF-9AEF-DEF921ABC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715"/>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6715"/>
    <w:pPr>
      <w:ind w:left="720"/>
      <w:contextualSpacing/>
    </w:pPr>
  </w:style>
  <w:style w:type="character" w:styleId="Hipervnculo">
    <w:name w:val="Hyperlink"/>
    <w:basedOn w:val="Fuentedeprrafopredeter"/>
    <w:uiPriority w:val="99"/>
    <w:unhideWhenUsed/>
    <w:rsid w:val="00C36715"/>
    <w:rPr>
      <w:color w:val="0563C1" w:themeColor="hyperlink"/>
      <w:u w:val="single"/>
    </w:rPr>
  </w:style>
  <w:style w:type="paragraph" w:styleId="Textonotapie">
    <w:name w:val="footnote text"/>
    <w:basedOn w:val="Normal"/>
    <w:link w:val="TextonotapieCar"/>
    <w:uiPriority w:val="99"/>
    <w:semiHidden/>
    <w:unhideWhenUsed/>
    <w:rsid w:val="00DF17C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F17C0"/>
    <w:rPr>
      <w:sz w:val="20"/>
      <w:szCs w:val="20"/>
    </w:rPr>
  </w:style>
  <w:style w:type="character" w:styleId="Refdenotaalpie">
    <w:name w:val="footnote reference"/>
    <w:basedOn w:val="Fuentedeprrafopredeter"/>
    <w:uiPriority w:val="99"/>
    <w:semiHidden/>
    <w:unhideWhenUsed/>
    <w:rsid w:val="00DF17C0"/>
    <w:rPr>
      <w:vertAlign w:val="superscript"/>
    </w:rPr>
  </w:style>
  <w:style w:type="paragraph" w:styleId="Encabezado">
    <w:name w:val="header"/>
    <w:basedOn w:val="Normal"/>
    <w:link w:val="EncabezadoCar"/>
    <w:uiPriority w:val="99"/>
    <w:unhideWhenUsed/>
    <w:rsid w:val="009A42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42BD"/>
  </w:style>
  <w:style w:type="paragraph" w:styleId="Piedepgina">
    <w:name w:val="footer"/>
    <w:basedOn w:val="Normal"/>
    <w:link w:val="PiedepginaCar"/>
    <w:uiPriority w:val="99"/>
    <w:unhideWhenUsed/>
    <w:rsid w:val="009A42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42BD"/>
  </w:style>
  <w:style w:type="paragraph" w:styleId="NormalWeb">
    <w:name w:val="Normal (Web)"/>
    <w:basedOn w:val="Normal"/>
    <w:uiPriority w:val="99"/>
    <w:semiHidden/>
    <w:unhideWhenUsed/>
    <w:rsid w:val="00483C5B"/>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60723E1-7364-4BCC-82D6-5CC8E0A52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6</Pages>
  <Words>1723</Words>
  <Characters>9480</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63</cp:revision>
  <dcterms:created xsi:type="dcterms:W3CDTF">2021-07-29T11:36:00Z</dcterms:created>
  <dcterms:modified xsi:type="dcterms:W3CDTF">2023-07-30T16:33:00Z</dcterms:modified>
</cp:coreProperties>
</file>